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64912" w14:textId="135540CD" w:rsidR="004838E9" w:rsidRPr="00934B2F" w:rsidRDefault="00934B2F" w:rsidP="00F1227B">
      <w:pPr>
        <w:spacing w:after="240" w:line="240" w:lineRule="auto"/>
        <w:jc w:val="center"/>
        <w:rPr>
          <w:sz w:val="24"/>
          <w:szCs w:val="24"/>
          <w:u w:val="single"/>
        </w:rPr>
      </w:pPr>
      <w:r w:rsidRPr="00934B2F">
        <w:rPr>
          <w:sz w:val="24"/>
          <w:szCs w:val="24"/>
          <w:u w:val="single"/>
        </w:rPr>
        <w:t xml:space="preserve">Hunter College </w:t>
      </w:r>
      <w:r w:rsidR="003B7471">
        <w:rPr>
          <w:sz w:val="24"/>
          <w:szCs w:val="24"/>
          <w:u w:val="single"/>
        </w:rPr>
        <w:t>Faculty Senate</w:t>
      </w:r>
      <w:r w:rsidR="003C6C94" w:rsidRPr="00934B2F">
        <w:rPr>
          <w:sz w:val="24"/>
          <w:szCs w:val="24"/>
          <w:u w:val="single"/>
        </w:rPr>
        <w:t xml:space="preserve">/Office of Assessment </w:t>
      </w:r>
    </w:p>
    <w:p w14:paraId="4A4DEB17" w14:textId="1D0D5B34" w:rsidR="004838E9" w:rsidRPr="00F1227B" w:rsidRDefault="003C6C94" w:rsidP="00F1227B">
      <w:pPr>
        <w:spacing w:after="240" w:line="240" w:lineRule="auto"/>
        <w:jc w:val="center"/>
        <w:rPr>
          <w:i/>
          <w:sz w:val="24"/>
          <w:szCs w:val="24"/>
        </w:rPr>
      </w:pPr>
      <w:r w:rsidRPr="00F1227B">
        <w:rPr>
          <w:i/>
          <w:sz w:val="24"/>
          <w:szCs w:val="24"/>
        </w:rPr>
        <w:t xml:space="preserve">Template for </w:t>
      </w:r>
      <w:r w:rsidR="000741D3">
        <w:rPr>
          <w:i/>
          <w:sz w:val="24"/>
          <w:szCs w:val="24"/>
        </w:rPr>
        <w:t>CUNY Pathways/</w:t>
      </w:r>
      <w:r w:rsidR="00934B2F" w:rsidRPr="00F1227B">
        <w:rPr>
          <w:i/>
          <w:sz w:val="24"/>
          <w:szCs w:val="24"/>
        </w:rPr>
        <w:t>General Education</w:t>
      </w:r>
      <w:r w:rsidRPr="00F1227B">
        <w:rPr>
          <w:i/>
          <w:sz w:val="24"/>
          <w:szCs w:val="24"/>
        </w:rPr>
        <w:t xml:space="preserve"> Lear</w:t>
      </w:r>
      <w:r w:rsidR="00F1227B" w:rsidRPr="00F1227B">
        <w:rPr>
          <w:i/>
          <w:sz w:val="24"/>
          <w:szCs w:val="24"/>
        </w:rPr>
        <w:t>ning Outcomes Assessment Reports</w:t>
      </w:r>
    </w:p>
    <w:p w14:paraId="0F7FAD18" w14:textId="5FF4180E" w:rsidR="004838E9" w:rsidRPr="00934B2F" w:rsidRDefault="00F30A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Individual &amp; Society</w:t>
      </w:r>
      <w:r w:rsidR="003B7471">
        <w:rPr>
          <w:b/>
          <w:sz w:val="24"/>
          <w:szCs w:val="24"/>
        </w:rPr>
        <w:t xml:space="preserve"> </w:t>
      </w:r>
      <w:r w:rsidR="00934B2F" w:rsidRPr="00934B2F">
        <w:rPr>
          <w:b/>
          <w:sz w:val="24"/>
          <w:szCs w:val="24"/>
        </w:rPr>
        <w:t>Assessment,</w:t>
      </w:r>
      <w:r w:rsidR="003B7471">
        <w:rPr>
          <w:b/>
          <w:sz w:val="24"/>
          <w:szCs w:val="24"/>
        </w:rPr>
        <w:t xml:space="preserve"> </w:t>
      </w:r>
      <w:proofErr w:type="gramStart"/>
      <w:r w:rsidR="003B7471">
        <w:rPr>
          <w:b/>
          <w:sz w:val="24"/>
          <w:szCs w:val="24"/>
        </w:rPr>
        <w:t>Fall</w:t>
      </w:r>
      <w:proofErr w:type="gramEnd"/>
      <w:r w:rsidR="003B7471">
        <w:rPr>
          <w:b/>
          <w:sz w:val="24"/>
          <w:szCs w:val="24"/>
        </w:rPr>
        <w:t xml:space="preserve"> 2020</w:t>
      </w:r>
    </w:p>
    <w:p w14:paraId="30203109" w14:textId="1A319F38" w:rsidR="004838E9" w:rsidRDefault="003C6C94">
      <w:pPr>
        <w:rPr>
          <w:sz w:val="24"/>
          <w:szCs w:val="24"/>
        </w:rPr>
      </w:pPr>
      <w:r>
        <w:rPr>
          <w:sz w:val="24"/>
          <w:szCs w:val="24"/>
        </w:rPr>
        <w:t>Prepared by_____________________________________</w:t>
      </w:r>
      <w:r w:rsidR="000D1C98">
        <w:rPr>
          <w:sz w:val="24"/>
          <w:szCs w:val="24"/>
        </w:rPr>
        <w:t>____</w:t>
      </w:r>
      <w:r>
        <w:rPr>
          <w:sz w:val="24"/>
          <w:szCs w:val="24"/>
        </w:rPr>
        <w:t xml:space="preserve">___ </w:t>
      </w:r>
      <w:r w:rsidR="000D1C98">
        <w:rPr>
          <w:sz w:val="24"/>
          <w:szCs w:val="24"/>
        </w:rPr>
        <w:tab/>
      </w:r>
      <w:r>
        <w:rPr>
          <w:sz w:val="24"/>
          <w:szCs w:val="24"/>
        </w:rPr>
        <w:t>Dept</w:t>
      </w:r>
      <w:r w:rsidR="00EF6223">
        <w:rPr>
          <w:sz w:val="24"/>
          <w:szCs w:val="24"/>
        </w:rPr>
        <w:t>.</w:t>
      </w:r>
      <w:r w:rsidR="000D1C98">
        <w:rPr>
          <w:sz w:val="24"/>
          <w:szCs w:val="24"/>
        </w:rPr>
        <w:t>/Program</w:t>
      </w:r>
      <w:r>
        <w:rPr>
          <w:sz w:val="24"/>
          <w:szCs w:val="24"/>
        </w:rPr>
        <w:t>_______________</w:t>
      </w:r>
      <w:r w:rsidR="000D1C98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______ </w:t>
      </w:r>
    </w:p>
    <w:p w14:paraId="194E88C4" w14:textId="574717FD" w:rsidR="00154D29" w:rsidRDefault="000741D3" w:rsidP="00943398">
      <w:pPr>
        <w:spacing w:after="80" w:line="240" w:lineRule="auto"/>
        <w:rPr>
          <w:sz w:val="24"/>
          <w:szCs w:val="24"/>
          <w:u w:val="single"/>
        </w:rPr>
      </w:pPr>
      <w:r>
        <w:t xml:space="preserve">This report is designed for use with the </w:t>
      </w:r>
      <w:r w:rsidR="00F30A8C">
        <w:t>Individual &amp; Society</w:t>
      </w:r>
      <w:r>
        <w:t xml:space="preserve"> rubric provided to you separately</w:t>
      </w:r>
      <w:r w:rsidR="007E099F">
        <w:t>, and appended to this report template</w:t>
      </w:r>
      <w:r>
        <w:t>. This assessment is part of the 5-year plan developed by the Hunt</w:t>
      </w:r>
      <w:r w:rsidR="00FE5749">
        <w:t>er Faculty Senate, to assess</w:t>
      </w:r>
      <w:r>
        <w:t xml:space="preserve"> </w:t>
      </w:r>
      <w:r w:rsidR="00FE5749">
        <w:t>Hunter’s General Education outcomes, which are comprised of the CUNY Common Core outcomes, Institutional Learning Outcomes (ILOs), and Flexible Core outcomes,</w:t>
      </w:r>
      <w:r w:rsidR="00AA43CF">
        <w:t xml:space="preserve"> including those for </w:t>
      </w:r>
      <w:r w:rsidR="00F13C41">
        <w:t>Individual &amp; Society</w:t>
      </w:r>
      <w:r>
        <w:t xml:space="preserve">.  </w:t>
      </w:r>
      <w:r w:rsidR="00154D29">
        <w:t xml:space="preserve">Please submit this report to the Director of Assessment by February </w:t>
      </w:r>
      <w:r w:rsidR="003B7471">
        <w:t>5</w:t>
      </w:r>
      <w:r w:rsidR="003B7471" w:rsidRPr="003B7471">
        <w:rPr>
          <w:vertAlign w:val="superscript"/>
        </w:rPr>
        <w:t>th</w:t>
      </w:r>
      <w:r w:rsidR="00FE5749">
        <w:t>, 2021.</w:t>
      </w:r>
      <w:r w:rsidR="00154D29">
        <w:t xml:space="preserve"> If you have questions or need assistance, please contact Joel Bloom at </w:t>
      </w:r>
      <w:hyperlink r:id="rId7" w:history="1">
        <w:r w:rsidR="00154D29" w:rsidRPr="00D37443">
          <w:rPr>
            <w:rStyle w:val="Hyperlink"/>
          </w:rPr>
          <w:t>joel.bloom@hunter.cuny.edu</w:t>
        </w:r>
      </w:hyperlink>
      <w:r w:rsidR="00154D29">
        <w:t>.</w:t>
      </w:r>
    </w:p>
    <w:p w14:paraId="5E05EC67" w14:textId="6BD30408" w:rsidR="004838E9" w:rsidRPr="00154D29" w:rsidRDefault="003C6C94" w:rsidP="00943398">
      <w:pPr>
        <w:spacing w:after="80" w:line="240" w:lineRule="auto"/>
      </w:pPr>
      <w:r w:rsidRPr="00154D29">
        <w:rPr>
          <w:u w:val="single"/>
        </w:rPr>
        <w:t>I. Direct</w:t>
      </w:r>
      <w:r w:rsidRPr="00154D29">
        <w:rPr>
          <w:i/>
          <w:u w:val="single"/>
        </w:rPr>
        <w:t xml:space="preserve"> </w:t>
      </w:r>
      <w:r w:rsidRPr="00154D29">
        <w:rPr>
          <w:u w:val="single"/>
        </w:rPr>
        <w:t>Assessment of Learning Outcomes</w:t>
      </w:r>
      <w:r w:rsidRPr="00154D29">
        <w:t xml:space="preserve">   </w:t>
      </w:r>
    </w:p>
    <w:p w14:paraId="54B00F68" w14:textId="628B29E2" w:rsidR="00F1227B" w:rsidRDefault="00F1227B" w:rsidP="00943398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Please note that, while we ask you to show the course or program learning outcomes associated with the relevant Gen</w:t>
      </w:r>
      <w:r w:rsidR="003B7471">
        <w:t>eral</w:t>
      </w:r>
      <w:r>
        <w:t xml:space="preserve"> Ed</w:t>
      </w:r>
      <w:r w:rsidR="003B7471">
        <w:t>ucation</w:t>
      </w:r>
      <w:r>
        <w:t xml:space="preserve"> outcome,</w:t>
      </w:r>
      <w:r w:rsidR="00943398">
        <w:t xml:space="preserve"> </w:t>
      </w:r>
      <w:r w:rsidR="00943398" w:rsidRPr="00154D29">
        <w:rPr>
          <w:u w:val="single"/>
        </w:rPr>
        <w:t xml:space="preserve">we are asking you to assess student learning with regard to the </w:t>
      </w:r>
      <w:r w:rsidRPr="00154D29">
        <w:rPr>
          <w:u w:val="single"/>
        </w:rPr>
        <w:t>Gen</w:t>
      </w:r>
      <w:r w:rsidR="00CE4D89">
        <w:rPr>
          <w:u w:val="single"/>
        </w:rPr>
        <w:t>eral</w:t>
      </w:r>
      <w:r w:rsidRPr="00154D29">
        <w:rPr>
          <w:u w:val="single"/>
        </w:rPr>
        <w:t xml:space="preserve"> Ed</w:t>
      </w:r>
      <w:r w:rsidR="00CE4D89">
        <w:rPr>
          <w:u w:val="single"/>
        </w:rPr>
        <w:t>ucation</w:t>
      </w:r>
      <w:r w:rsidRPr="00154D29">
        <w:rPr>
          <w:u w:val="single"/>
        </w:rPr>
        <w:t xml:space="preserve"> outco</w:t>
      </w:r>
      <w:r w:rsidR="00943398" w:rsidRPr="00154D29">
        <w:rPr>
          <w:u w:val="single"/>
        </w:rPr>
        <w:t>mes, not the course or program outcomes</w:t>
      </w:r>
      <w:r w:rsidRPr="00154D29">
        <w:rPr>
          <w:u w:val="single"/>
        </w:rPr>
        <w:t>.</w:t>
      </w:r>
      <w:r>
        <w:t xml:space="preserve"> </w:t>
      </w:r>
    </w:p>
    <w:p w14:paraId="03B2C089" w14:textId="481FE705" w:rsidR="00943398" w:rsidRDefault="00154D29" w:rsidP="00943398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Please assess the </w:t>
      </w:r>
      <w:r w:rsidR="00943398">
        <w:t>Gen</w:t>
      </w:r>
      <w:r w:rsidR="00CE4D89">
        <w:t>eral</w:t>
      </w:r>
      <w:r>
        <w:t xml:space="preserve"> Ed</w:t>
      </w:r>
      <w:r w:rsidR="00CE4D89">
        <w:t>ucation</w:t>
      </w:r>
      <w:r>
        <w:t xml:space="preserve"> outcomes using the </w:t>
      </w:r>
      <w:r w:rsidR="00943398">
        <w:t>rubric</w:t>
      </w:r>
      <w:r>
        <w:t xml:space="preserve"> provided</w:t>
      </w:r>
      <w:r w:rsidR="006246D0">
        <w:t>.</w:t>
      </w:r>
    </w:p>
    <w:p w14:paraId="1D67D1C8" w14:textId="12D1876C" w:rsidR="00F1227B" w:rsidRDefault="00943398" w:rsidP="00943398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Please insert</w:t>
      </w:r>
      <w:r w:rsidRPr="00934B2F">
        <w:t xml:space="preserve"> </w:t>
      </w:r>
      <w:r w:rsidRPr="00943398">
        <w:rPr>
          <w:i/>
        </w:rPr>
        <w:t xml:space="preserve">the </w:t>
      </w:r>
      <w:r w:rsidRPr="00943398">
        <w:rPr>
          <w:b/>
          <w:i/>
        </w:rPr>
        <w:t>numbers</w:t>
      </w:r>
      <w:r w:rsidRPr="00943398">
        <w:rPr>
          <w:i/>
        </w:rPr>
        <w:t xml:space="preserve"> of students falling into each performance level</w:t>
      </w:r>
      <w:r w:rsidRPr="00934B2F">
        <w:t xml:space="preserve"> in the following chart.  </w:t>
      </w:r>
    </w:p>
    <w:p w14:paraId="0B44EA0B" w14:textId="77777777" w:rsidR="003B7471" w:rsidRPr="00934B2F" w:rsidRDefault="003B7471" w:rsidP="003B7471">
      <w:pPr>
        <w:pStyle w:val="ListParagraph"/>
        <w:spacing w:after="80" w:line="240" w:lineRule="auto"/>
        <w:contextualSpacing w:val="0"/>
      </w:pP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2880"/>
        <w:gridCol w:w="1620"/>
        <w:gridCol w:w="943"/>
        <w:gridCol w:w="1368"/>
        <w:gridCol w:w="1368"/>
        <w:gridCol w:w="1368"/>
        <w:gridCol w:w="1523"/>
      </w:tblGrid>
      <w:tr w:rsidR="004838E9" w14:paraId="692839DC" w14:textId="77777777" w:rsidTr="00C31EF0">
        <w:tc>
          <w:tcPr>
            <w:tcW w:w="3325" w:type="dxa"/>
            <w:shd w:val="clear" w:color="auto" w:fill="D9D9D9"/>
            <w:vAlign w:val="center"/>
          </w:tcPr>
          <w:p w14:paraId="76044AED" w14:textId="34D02C3C" w:rsidR="000D1C98" w:rsidRDefault="00F13C41" w:rsidP="000D1C9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Individual &amp; Society</w:t>
            </w:r>
          </w:p>
          <w:p w14:paraId="6D2C859D" w14:textId="23079C4F" w:rsidR="004838E9" w:rsidRPr="00154D29" w:rsidRDefault="000D1C98" w:rsidP="000D1C9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General Education </w:t>
            </w:r>
            <w:r w:rsidR="00934B2F" w:rsidRPr="00154D29">
              <w:rPr>
                <w:rFonts w:asciiTheme="majorHAnsi" w:hAnsiTheme="majorHAnsi" w:cstheme="majorHAnsi"/>
                <w:b/>
              </w:rPr>
              <w:t>Outcome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600EB6D1" w14:textId="426BBD5D" w:rsidR="004838E9" w:rsidRPr="00154D29" w:rsidRDefault="00F1227B" w:rsidP="00F13C41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gjdgxs" w:colFirst="0" w:colLast="0"/>
            <w:bookmarkEnd w:id="0"/>
            <w:r w:rsidRPr="00154D29">
              <w:rPr>
                <w:rFonts w:asciiTheme="majorHAnsi" w:hAnsiTheme="majorHAnsi" w:cstheme="majorHAnsi"/>
                <w:b/>
              </w:rPr>
              <w:t>Course or Program</w:t>
            </w:r>
            <w:r w:rsidR="00934B2F" w:rsidRPr="00154D29">
              <w:rPr>
                <w:rFonts w:asciiTheme="majorHAnsi" w:hAnsiTheme="majorHAnsi" w:cstheme="majorHAnsi"/>
                <w:b/>
              </w:rPr>
              <w:t xml:space="preserve"> </w:t>
            </w:r>
            <w:r w:rsidR="003C6C94" w:rsidRPr="00154D29">
              <w:rPr>
                <w:rFonts w:asciiTheme="majorHAnsi" w:hAnsiTheme="majorHAnsi" w:cstheme="majorHAnsi"/>
                <w:b/>
              </w:rPr>
              <w:t>Outcome</w:t>
            </w:r>
            <w:r w:rsidR="000D1C98">
              <w:rPr>
                <w:rFonts w:asciiTheme="majorHAnsi" w:hAnsiTheme="majorHAnsi" w:cstheme="majorHAnsi"/>
                <w:b/>
              </w:rPr>
              <w:t>(s)</w:t>
            </w:r>
            <w:r w:rsidR="00C31EF0">
              <w:rPr>
                <w:rFonts w:asciiTheme="majorHAnsi" w:hAnsiTheme="majorHAnsi" w:cstheme="majorHAnsi"/>
                <w:b/>
              </w:rPr>
              <w:t xml:space="preserve"> Associated with </w:t>
            </w:r>
            <w:r w:rsidR="00F13C41">
              <w:rPr>
                <w:rFonts w:asciiTheme="majorHAnsi" w:hAnsiTheme="majorHAnsi" w:cstheme="majorHAnsi"/>
                <w:b/>
              </w:rPr>
              <w:t>the Individual &amp; Society</w:t>
            </w:r>
            <w:r w:rsidR="00AA43CF">
              <w:rPr>
                <w:rFonts w:asciiTheme="majorHAnsi" w:hAnsiTheme="majorHAnsi" w:cstheme="majorHAnsi"/>
                <w:b/>
              </w:rPr>
              <w:t xml:space="preserve"> </w:t>
            </w:r>
            <w:r w:rsidR="000D1C98">
              <w:rPr>
                <w:rFonts w:asciiTheme="majorHAnsi" w:hAnsiTheme="majorHAnsi" w:cstheme="majorHAnsi"/>
                <w:b/>
              </w:rPr>
              <w:t>Outcome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F886796" w14:textId="77777777" w:rsidR="004838E9" w:rsidRPr="00154D29" w:rsidRDefault="003C6C94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54D29">
              <w:rPr>
                <w:rFonts w:asciiTheme="majorHAnsi" w:hAnsiTheme="majorHAnsi" w:cstheme="majorHAnsi"/>
                <w:b/>
              </w:rPr>
              <w:t>Course Name and Number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EFAC268" w14:textId="77777777" w:rsidR="004838E9" w:rsidRPr="00154D29" w:rsidRDefault="003C6C94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54D29">
              <w:rPr>
                <w:rFonts w:asciiTheme="majorHAnsi" w:hAnsiTheme="majorHAnsi" w:cstheme="majorHAnsi"/>
                <w:b/>
              </w:rPr>
              <w:t>Sample Size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500CC40" w14:textId="11CF7692" w:rsidR="004838E9" w:rsidRPr="00154D29" w:rsidRDefault="008726E1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Number</w:t>
            </w:r>
            <w:r w:rsidR="000D1C98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3C6C94" w:rsidRPr="00154D29">
              <w:rPr>
                <w:rFonts w:asciiTheme="majorHAnsi" w:hAnsiTheme="majorHAnsi" w:cstheme="majorHAnsi"/>
                <w:b/>
              </w:rPr>
              <w:t>Exceeds Expectations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A87D21" w14:textId="70DFF2F1" w:rsidR="004838E9" w:rsidRPr="00154D29" w:rsidRDefault="000D1C98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Number: </w:t>
            </w:r>
            <w:r w:rsidR="003C6C94" w:rsidRPr="00154D29">
              <w:rPr>
                <w:rFonts w:asciiTheme="majorHAnsi" w:hAnsiTheme="majorHAnsi" w:cstheme="majorHAnsi"/>
                <w:b/>
              </w:rPr>
              <w:t>Meets Expectations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D53894" w14:textId="5A77F52B" w:rsidR="004838E9" w:rsidRPr="00154D29" w:rsidRDefault="008726E1" w:rsidP="008726E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Number</w:t>
            </w:r>
            <w:r w:rsidR="000D1C98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3C6C94" w:rsidRPr="00154D29">
              <w:rPr>
                <w:rFonts w:asciiTheme="majorHAnsi" w:hAnsiTheme="majorHAnsi" w:cstheme="majorHAnsi"/>
                <w:b/>
              </w:rPr>
              <w:t>Approaches Expectations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FFE1FA" w14:textId="77777777" w:rsidR="000D1C98" w:rsidRDefault="000D1C98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Number:</w:t>
            </w:r>
          </w:p>
          <w:p w14:paraId="6AE83438" w14:textId="35976B65" w:rsidR="004838E9" w:rsidRPr="00154D29" w:rsidRDefault="000D1C98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3C6C94" w:rsidRPr="00154D29">
              <w:rPr>
                <w:rFonts w:asciiTheme="majorHAnsi" w:hAnsiTheme="majorHAnsi" w:cstheme="majorHAnsi"/>
                <w:b/>
              </w:rPr>
              <w:t>Does Not Meet Expectations</w:t>
            </w:r>
          </w:p>
        </w:tc>
      </w:tr>
      <w:tr w:rsidR="004838E9" w14:paraId="755B5A9B" w14:textId="77777777" w:rsidTr="00C31EF0">
        <w:tc>
          <w:tcPr>
            <w:tcW w:w="3325" w:type="dxa"/>
          </w:tcPr>
          <w:p w14:paraId="1FE1087C" w14:textId="1D381D27" w:rsidR="004838E9" w:rsidRPr="00154D29" w:rsidRDefault="00F13C41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 w:rsidRPr="00F13C41">
              <w:rPr>
                <w:rFonts w:asciiTheme="majorHAnsi" w:hAnsiTheme="majorHAnsi" w:cstheme="majorHAnsi"/>
                <w:sz w:val="21"/>
                <w:szCs w:val="21"/>
              </w:rPr>
              <w:t>1a. Identify the fundamental concepts and methods of a discipline exploring the relationship between the individual and society.</w:t>
            </w:r>
          </w:p>
        </w:tc>
        <w:tc>
          <w:tcPr>
            <w:tcW w:w="2880" w:type="dxa"/>
          </w:tcPr>
          <w:p w14:paraId="170F48E1" w14:textId="77777777" w:rsidR="004838E9" w:rsidRPr="00154D29" w:rsidRDefault="004838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14:paraId="406B8C52" w14:textId="77777777" w:rsidR="004838E9" w:rsidRPr="00154D29" w:rsidRDefault="004838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3" w:type="dxa"/>
            <w:shd w:val="clear" w:color="auto" w:fill="FFFFFF"/>
          </w:tcPr>
          <w:p w14:paraId="78F3028C" w14:textId="77777777" w:rsidR="004838E9" w:rsidRPr="00154D29" w:rsidRDefault="004838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8" w:type="dxa"/>
            <w:shd w:val="clear" w:color="auto" w:fill="F2F2F2"/>
          </w:tcPr>
          <w:p w14:paraId="1DB5B01E" w14:textId="77777777" w:rsidR="004838E9" w:rsidRPr="00154D29" w:rsidRDefault="004838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8" w:type="dxa"/>
            <w:shd w:val="clear" w:color="auto" w:fill="F2F2F2"/>
          </w:tcPr>
          <w:p w14:paraId="5E324118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48F81986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23" w:type="dxa"/>
            <w:shd w:val="clear" w:color="auto" w:fill="F2F2F2"/>
          </w:tcPr>
          <w:p w14:paraId="70F8016B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4838E9" w14:paraId="00043234" w14:textId="77777777" w:rsidTr="00C31EF0">
        <w:tc>
          <w:tcPr>
            <w:tcW w:w="3325" w:type="dxa"/>
          </w:tcPr>
          <w:p w14:paraId="7251D699" w14:textId="7FD1CC36" w:rsidR="004838E9" w:rsidRPr="00154D29" w:rsidRDefault="00F13C41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 w:rsidRPr="00F13C41">
              <w:rPr>
                <w:rFonts w:asciiTheme="majorHAnsi" w:hAnsiTheme="majorHAnsi" w:cstheme="majorHAnsi"/>
                <w:sz w:val="21"/>
                <w:szCs w:val="21"/>
              </w:rPr>
              <w:t>1b. Apply the fundamental concepts and methods of a discipline exploring the relationship between the individual and society.</w:t>
            </w:r>
          </w:p>
        </w:tc>
        <w:tc>
          <w:tcPr>
            <w:tcW w:w="2880" w:type="dxa"/>
          </w:tcPr>
          <w:p w14:paraId="48A29C0D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620" w:type="dxa"/>
          </w:tcPr>
          <w:p w14:paraId="21496AED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943" w:type="dxa"/>
            <w:shd w:val="clear" w:color="auto" w:fill="FFFFFF"/>
          </w:tcPr>
          <w:p w14:paraId="1897D586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13E73DD7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293C1183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00788F1B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23" w:type="dxa"/>
            <w:shd w:val="clear" w:color="auto" w:fill="F2F2F2"/>
          </w:tcPr>
          <w:p w14:paraId="2C16C159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4838E9" w14:paraId="3642A0A3" w14:textId="77777777" w:rsidTr="00C31EF0">
        <w:tc>
          <w:tcPr>
            <w:tcW w:w="3325" w:type="dxa"/>
          </w:tcPr>
          <w:p w14:paraId="59B8E081" w14:textId="01D84A6F" w:rsidR="004838E9" w:rsidRPr="00154D29" w:rsidRDefault="00F13C41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 w:rsidRPr="00F13C41">
              <w:rPr>
                <w:rFonts w:asciiTheme="majorHAnsi" w:hAnsiTheme="majorHAnsi" w:cstheme="majorHAnsi"/>
                <w:sz w:val="21"/>
                <w:szCs w:val="21"/>
              </w:rPr>
              <w:t>2. Examine how an individual's place in society affects experiences, values, or choices.</w:t>
            </w:r>
          </w:p>
        </w:tc>
        <w:tc>
          <w:tcPr>
            <w:tcW w:w="2880" w:type="dxa"/>
          </w:tcPr>
          <w:p w14:paraId="2489960C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620" w:type="dxa"/>
          </w:tcPr>
          <w:p w14:paraId="4D4E1463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943" w:type="dxa"/>
            <w:shd w:val="clear" w:color="auto" w:fill="FFFFFF"/>
          </w:tcPr>
          <w:p w14:paraId="4771057D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55EC58FC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671EADCF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1EFEDE7B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23" w:type="dxa"/>
            <w:shd w:val="clear" w:color="auto" w:fill="F2F2F2"/>
          </w:tcPr>
          <w:p w14:paraId="32A9C6F6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4838E9" w14:paraId="7B1AB2A8" w14:textId="77777777" w:rsidTr="00C31EF0">
        <w:tc>
          <w:tcPr>
            <w:tcW w:w="3325" w:type="dxa"/>
          </w:tcPr>
          <w:p w14:paraId="540BC144" w14:textId="1F0C8578" w:rsidR="004838E9" w:rsidRPr="003B7471" w:rsidRDefault="00F13C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13C41">
              <w:rPr>
                <w:rFonts w:asciiTheme="majorHAnsi" w:hAnsiTheme="majorHAnsi" w:cstheme="majorHAnsi"/>
                <w:sz w:val="21"/>
                <w:szCs w:val="21"/>
              </w:rPr>
              <w:t>3. Articulate and assess ethical views and their underlying premises.</w:t>
            </w:r>
          </w:p>
        </w:tc>
        <w:tc>
          <w:tcPr>
            <w:tcW w:w="2880" w:type="dxa"/>
          </w:tcPr>
          <w:p w14:paraId="62023075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620" w:type="dxa"/>
          </w:tcPr>
          <w:p w14:paraId="0909E1C8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943" w:type="dxa"/>
            <w:shd w:val="clear" w:color="auto" w:fill="FFFFFF"/>
          </w:tcPr>
          <w:p w14:paraId="5B277100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1326E172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55A3A116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0167BE8F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23" w:type="dxa"/>
            <w:shd w:val="clear" w:color="auto" w:fill="F2F2F2"/>
          </w:tcPr>
          <w:p w14:paraId="04062734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61A6D0FF" w14:textId="24B07E61" w:rsidR="00F13C41" w:rsidRDefault="00F13C41" w:rsidP="00F13C41">
      <w:pPr>
        <w:tabs>
          <w:tab w:val="left" w:pos="5910"/>
          <w:tab w:val="left" w:pos="7740"/>
        </w:tabs>
        <w:rPr>
          <w:u w:val="single"/>
        </w:rPr>
      </w:pPr>
    </w:p>
    <w:p w14:paraId="5995E72B" w14:textId="02AA4FBC" w:rsidR="00F13C41" w:rsidRDefault="00F13C41" w:rsidP="00F13C41">
      <w:pPr>
        <w:tabs>
          <w:tab w:val="left" w:pos="5310"/>
        </w:tabs>
        <w:rPr>
          <w:u w:val="single"/>
        </w:rPr>
      </w:pPr>
    </w:p>
    <w:p w14:paraId="65CA02D6" w14:textId="3E691DBE" w:rsidR="004838E9" w:rsidRPr="00F1227B" w:rsidRDefault="003C6C94" w:rsidP="00F1227B">
      <w:pPr>
        <w:spacing w:after="0" w:line="240" w:lineRule="auto"/>
      </w:pPr>
      <w:r w:rsidRPr="00F1227B">
        <w:rPr>
          <w:u w:val="single"/>
        </w:rPr>
        <w:lastRenderedPageBreak/>
        <w:t>II. Assessment Process</w:t>
      </w:r>
      <w:r w:rsidR="003B7471">
        <w:rPr>
          <w:u w:val="single"/>
        </w:rPr>
        <w:t>:</w:t>
      </w:r>
      <w:r w:rsidRPr="00F1227B">
        <w:t xml:space="preserve">  How did you go about assessing student learning?  </w:t>
      </w:r>
    </w:p>
    <w:p w14:paraId="11DBB731" w14:textId="32AAA298" w:rsidR="004838E9" w:rsidRPr="00F1227B" w:rsidRDefault="003C6C94" w:rsidP="00F1227B">
      <w:pPr>
        <w:spacing w:after="80" w:line="240" w:lineRule="auto"/>
        <w:rPr>
          <w:i/>
        </w:rPr>
      </w:pPr>
      <w:r w:rsidRPr="00F1227B">
        <w:rPr>
          <w:i/>
        </w:rPr>
        <w:t xml:space="preserve">(Describe briefly the assessment methodology: </w:t>
      </w:r>
      <w:r w:rsidR="00934B2F" w:rsidRPr="00F1227B">
        <w:rPr>
          <w:i/>
        </w:rPr>
        <w:t xml:space="preserve">section and </w:t>
      </w:r>
      <w:r w:rsidRPr="00F1227B">
        <w:rPr>
          <w:i/>
        </w:rPr>
        <w:t>sample selection, scoring process, and assessment design)</w:t>
      </w:r>
    </w:p>
    <w:tbl>
      <w:tblPr>
        <w:tblStyle w:val="a0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05"/>
      </w:tblGrid>
      <w:tr w:rsidR="004838E9" w14:paraId="3EFBF96A" w14:textId="77777777" w:rsidTr="00F1227B">
        <w:tc>
          <w:tcPr>
            <w:tcW w:w="14305" w:type="dxa"/>
          </w:tcPr>
          <w:p w14:paraId="350F9869" w14:textId="77777777" w:rsidR="004838E9" w:rsidRDefault="004838E9"/>
          <w:p w14:paraId="3256C42B" w14:textId="77777777" w:rsidR="004838E9" w:rsidRDefault="004838E9"/>
          <w:p w14:paraId="1F44A819" w14:textId="77777777" w:rsidR="004838E9" w:rsidRDefault="004838E9"/>
          <w:p w14:paraId="27F17A8F" w14:textId="77777777" w:rsidR="004838E9" w:rsidRDefault="004838E9"/>
          <w:p w14:paraId="7D815877" w14:textId="77777777" w:rsidR="004838E9" w:rsidRDefault="004838E9"/>
          <w:p w14:paraId="662BC650" w14:textId="77777777" w:rsidR="004838E9" w:rsidRDefault="004838E9"/>
          <w:p w14:paraId="3863D948" w14:textId="77777777" w:rsidR="004838E9" w:rsidRDefault="004838E9"/>
          <w:p w14:paraId="69938069" w14:textId="77777777" w:rsidR="004838E9" w:rsidRDefault="004838E9"/>
          <w:p w14:paraId="5AB23381" w14:textId="77777777" w:rsidR="004838E9" w:rsidRDefault="004838E9"/>
          <w:p w14:paraId="016EC345" w14:textId="77777777" w:rsidR="004838E9" w:rsidRDefault="004838E9"/>
          <w:p w14:paraId="1145D4A8" w14:textId="77777777" w:rsidR="004838E9" w:rsidRDefault="004838E9"/>
        </w:tc>
      </w:tr>
    </w:tbl>
    <w:p w14:paraId="639C2851" w14:textId="77777777" w:rsidR="004838E9" w:rsidRPr="00F1227B" w:rsidRDefault="004838E9" w:rsidP="00F1227B">
      <w:pPr>
        <w:spacing w:after="0" w:line="240" w:lineRule="auto"/>
        <w:rPr>
          <w:u w:val="single"/>
        </w:rPr>
      </w:pPr>
    </w:p>
    <w:p w14:paraId="78C3949F" w14:textId="6DD35720" w:rsidR="004838E9" w:rsidRPr="00F1227B" w:rsidRDefault="003C6C94" w:rsidP="00F1227B">
      <w:pPr>
        <w:spacing w:after="80" w:line="240" w:lineRule="auto"/>
      </w:pPr>
      <w:r w:rsidRPr="00F1227B">
        <w:rPr>
          <w:u w:val="single"/>
        </w:rPr>
        <w:t>III. Conclusions</w:t>
      </w:r>
      <w:r w:rsidR="003B7471">
        <w:rPr>
          <w:u w:val="single"/>
        </w:rPr>
        <w:t>:</w:t>
      </w:r>
      <w:r w:rsidRPr="00F1227B">
        <w:t xml:space="preserve">  What did you discover about student learning?  </w:t>
      </w:r>
    </w:p>
    <w:tbl>
      <w:tblPr>
        <w:tblStyle w:val="a1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05"/>
      </w:tblGrid>
      <w:tr w:rsidR="004838E9" w14:paraId="386595A0" w14:textId="77777777" w:rsidTr="00F1227B">
        <w:tc>
          <w:tcPr>
            <w:tcW w:w="14305" w:type="dxa"/>
          </w:tcPr>
          <w:p w14:paraId="022998DE" w14:textId="77777777" w:rsidR="004838E9" w:rsidRDefault="004838E9"/>
          <w:p w14:paraId="10DA2EEE" w14:textId="77777777" w:rsidR="004838E9" w:rsidRDefault="004838E9"/>
          <w:p w14:paraId="1D470F5F" w14:textId="77777777" w:rsidR="004838E9" w:rsidRDefault="004838E9"/>
          <w:p w14:paraId="4A256EC0" w14:textId="77777777" w:rsidR="004838E9" w:rsidRDefault="004838E9"/>
          <w:p w14:paraId="1916A148" w14:textId="77777777" w:rsidR="004838E9" w:rsidRDefault="004838E9"/>
          <w:p w14:paraId="1435FF5B" w14:textId="77777777" w:rsidR="004838E9" w:rsidRDefault="004838E9"/>
          <w:p w14:paraId="7692025F" w14:textId="77777777" w:rsidR="004838E9" w:rsidRDefault="004838E9"/>
          <w:p w14:paraId="5A71FF2E" w14:textId="77777777" w:rsidR="004838E9" w:rsidRDefault="004838E9"/>
          <w:p w14:paraId="62576D89" w14:textId="77777777" w:rsidR="004838E9" w:rsidRDefault="004838E9"/>
          <w:p w14:paraId="6EA4A191" w14:textId="77777777" w:rsidR="004838E9" w:rsidRDefault="004838E9"/>
          <w:p w14:paraId="2781C4BF" w14:textId="7BAFCE64" w:rsidR="004838E9" w:rsidRDefault="004838E9"/>
        </w:tc>
      </w:tr>
    </w:tbl>
    <w:p w14:paraId="2C29E47B" w14:textId="77777777" w:rsidR="004838E9" w:rsidRPr="00F1227B" w:rsidRDefault="004838E9" w:rsidP="00F1227B">
      <w:pPr>
        <w:spacing w:after="0" w:line="240" w:lineRule="auto"/>
        <w:rPr>
          <w:u w:val="single"/>
        </w:rPr>
      </w:pPr>
    </w:p>
    <w:p w14:paraId="438DB052" w14:textId="77777777" w:rsidR="00F1227B" w:rsidRPr="00F1227B" w:rsidRDefault="003C6C94" w:rsidP="00F1227B">
      <w:pPr>
        <w:spacing w:after="0" w:line="240" w:lineRule="auto"/>
      </w:pPr>
      <w:r w:rsidRPr="00F1227B">
        <w:rPr>
          <w:u w:val="single"/>
        </w:rPr>
        <w:t xml:space="preserve">IV. Actions Taken: </w:t>
      </w:r>
      <w:r w:rsidR="00934B2F" w:rsidRPr="00F1227B">
        <w:t xml:space="preserve"> What actions did you take, or will you take,</w:t>
      </w:r>
      <w:r w:rsidRPr="00F1227B">
        <w:t xml:space="preserve"> to respond to the data and conclusions? </w:t>
      </w:r>
    </w:p>
    <w:p w14:paraId="5E2F15DA" w14:textId="7D1FAF1C" w:rsidR="004838E9" w:rsidRPr="00F1227B" w:rsidRDefault="003C6C94" w:rsidP="00F1227B">
      <w:pPr>
        <w:spacing w:after="80" w:line="240" w:lineRule="auto"/>
      </w:pPr>
      <w:r w:rsidRPr="00F1227B">
        <w:t xml:space="preserve">What actions do you recommend be taken at the institutional level?   </w:t>
      </w:r>
    </w:p>
    <w:tbl>
      <w:tblPr>
        <w:tblStyle w:val="a2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05"/>
      </w:tblGrid>
      <w:tr w:rsidR="004838E9" w14:paraId="28D28BB0" w14:textId="77777777" w:rsidTr="00F1227B">
        <w:tc>
          <w:tcPr>
            <w:tcW w:w="14305" w:type="dxa"/>
          </w:tcPr>
          <w:p w14:paraId="4F663DDC" w14:textId="77777777" w:rsidR="004838E9" w:rsidRDefault="004838E9"/>
          <w:p w14:paraId="20600FD1" w14:textId="77777777" w:rsidR="004838E9" w:rsidRDefault="004838E9"/>
          <w:p w14:paraId="204B982C" w14:textId="77777777" w:rsidR="004838E9" w:rsidRDefault="004838E9"/>
          <w:p w14:paraId="0F19A242" w14:textId="77777777" w:rsidR="004838E9" w:rsidRDefault="004838E9"/>
          <w:p w14:paraId="65728262" w14:textId="77777777" w:rsidR="004838E9" w:rsidRDefault="004838E9"/>
          <w:p w14:paraId="7500E395" w14:textId="77777777" w:rsidR="004838E9" w:rsidRDefault="004838E9"/>
          <w:p w14:paraId="3E27C03E" w14:textId="77777777" w:rsidR="004838E9" w:rsidRDefault="004838E9"/>
          <w:p w14:paraId="1606E0C5" w14:textId="77777777" w:rsidR="004838E9" w:rsidRDefault="004838E9"/>
          <w:p w14:paraId="20E99BAB" w14:textId="77777777" w:rsidR="004838E9" w:rsidRDefault="004838E9"/>
          <w:p w14:paraId="3D05A824" w14:textId="77777777" w:rsidR="004838E9" w:rsidRDefault="004838E9"/>
          <w:p w14:paraId="1D104FB0" w14:textId="77777777" w:rsidR="004838E9" w:rsidRDefault="004838E9"/>
          <w:p w14:paraId="189BB745" w14:textId="33AD75C8" w:rsidR="004838E9" w:rsidRDefault="004838E9"/>
        </w:tc>
      </w:tr>
    </w:tbl>
    <w:p w14:paraId="63BAD58D" w14:textId="1DF3B2BB" w:rsidR="004838E9" w:rsidRDefault="004838E9" w:rsidP="004300DC">
      <w:pPr>
        <w:rPr>
          <w:sz w:val="24"/>
          <w:szCs w:val="24"/>
        </w:rPr>
      </w:pPr>
    </w:p>
    <w:p w14:paraId="41973F63" w14:textId="77777777" w:rsidR="007E099F" w:rsidRPr="00C97FA8" w:rsidRDefault="007E099F" w:rsidP="007E099F">
      <w:pPr>
        <w:tabs>
          <w:tab w:val="right" w:pos="14670"/>
        </w:tabs>
        <w:spacing w:after="0" w:line="240" w:lineRule="exact"/>
        <w:rPr>
          <w:b/>
          <w:sz w:val="24"/>
          <w:szCs w:val="24"/>
        </w:rPr>
      </w:pPr>
      <w:r w:rsidRPr="00C97FA8">
        <w:rPr>
          <w:b/>
          <w:sz w:val="24"/>
          <w:szCs w:val="24"/>
        </w:rPr>
        <w:lastRenderedPageBreak/>
        <w:t>CUNY Pathways/General Education Assessment</w:t>
      </w:r>
      <w:r w:rsidRPr="00C97FA8">
        <w:rPr>
          <w:b/>
          <w:sz w:val="24"/>
          <w:szCs w:val="24"/>
        </w:rPr>
        <w:tab/>
      </w:r>
      <w:r>
        <w:rPr>
          <w:b/>
          <w:sz w:val="24"/>
          <w:szCs w:val="24"/>
        </w:rPr>
        <w:t>Individual &amp; Society</w:t>
      </w:r>
    </w:p>
    <w:p w14:paraId="62677EB9" w14:textId="77777777" w:rsidR="007E099F" w:rsidRPr="00C97FA8" w:rsidRDefault="007E099F" w:rsidP="007E099F">
      <w:pPr>
        <w:tabs>
          <w:tab w:val="right" w:pos="14670"/>
        </w:tabs>
        <w:spacing w:after="0" w:line="240" w:lineRule="exact"/>
        <w:rPr>
          <w:sz w:val="24"/>
          <w:szCs w:val="24"/>
        </w:rPr>
      </w:pPr>
      <w:r w:rsidRPr="00C97FA8">
        <w:rPr>
          <w:sz w:val="24"/>
          <w:szCs w:val="24"/>
        </w:rPr>
        <w:t>Hunter College Assessment Rubric</w:t>
      </w:r>
      <w:r w:rsidRPr="00C97FA8">
        <w:rPr>
          <w:sz w:val="24"/>
          <w:szCs w:val="24"/>
        </w:rPr>
        <w:tab/>
        <w:t>Fall 2020</w:t>
      </w:r>
    </w:p>
    <w:p w14:paraId="37755D2B" w14:textId="77777777" w:rsidR="007E099F" w:rsidRPr="00AE46B3" w:rsidRDefault="007E099F" w:rsidP="007E099F">
      <w:pPr>
        <w:tabs>
          <w:tab w:val="right" w:pos="14670"/>
        </w:tabs>
        <w:spacing w:after="0" w:line="240" w:lineRule="exact"/>
      </w:pPr>
    </w:p>
    <w:p w14:paraId="2C840BEB" w14:textId="77777777" w:rsidR="007E099F" w:rsidRPr="00AE46B3" w:rsidRDefault="007E099F" w:rsidP="007E099F">
      <w:pPr>
        <w:tabs>
          <w:tab w:val="right" w:pos="14670"/>
        </w:tabs>
        <w:spacing w:after="0" w:line="240" w:lineRule="exact"/>
      </w:pPr>
      <w:r>
        <w:rPr>
          <w:b/>
        </w:rPr>
        <w:t>Individual &amp; Society</w:t>
      </w:r>
      <w:r w:rsidRPr="00AE46B3">
        <w:rPr>
          <w:b/>
        </w:rPr>
        <w:t xml:space="preserve"> Rubric instructions:</w:t>
      </w:r>
      <w:r w:rsidRPr="00AE46B3">
        <w:t xml:space="preserve"> </w:t>
      </w:r>
      <w:r w:rsidRPr="00AE46B3">
        <w:rPr>
          <w:i/>
        </w:rPr>
        <w:t>(1)</w:t>
      </w:r>
      <w:r w:rsidRPr="00AE46B3">
        <w:t xml:space="preserve"> </w:t>
      </w:r>
      <w:r w:rsidRPr="00AE46B3">
        <w:rPr>
          <w:i/>
        </w:rPr>
        <w:t xml:space="preserve">Please use a separate copy of the rubric for each student whose work you are assessing. (2) </w:t>
      </w:r>
      <w:r>
        <w:rPr>
          <w:i/>
        </w:rPr>
        <w:t>H</w:t>
      </w:r>
      <w:r w:rsidRPr="00AE46B3">
        <w:rPr>
          <w:i/>
        </w:rPr>
        <w:t>ighlight the box in each row of the rubric that</w:t>
      </w:r>
      <w:r>
        <w:rPr>
          <w:i/>
        </w:rPr>
        <w:t xml:space="preserve"> best</w:t>
      </w:r>
      <w:r w:rsidRPr="00AE46B3">
        <w:rPr>
          <w:i/>
        </w:rPr>
        <w:t xml:space="preserve"> approximat</w:t>
      </w:r>
      <w:r>
        <w:rPr>
          <w:i/>
        </w:rPr>
        <w:t>es</w:t>
      </w:r>
      <w:r w:rsidRPr="00AE46B3">
        <w:rPr>
          <w:i/>
        </w:rPr>
        <w:t xml:space="preserve"> the work of </w:t>
      </w:r>
      <w:r>
        <w:rPr>
          <w:i/>
        </w:rPr>
        <w:t>that</w:t>
      </w:r>
      <w:r w:rsidRPr="00AE46B3">
        <w:rPr>
          <w:i/>
        </w:rPr>
        <w:t xml:space="preserve"> student on the assignment being assessed (or in your class as a whole) with regard to the learning outcome listed on the left-hand column. (3) When you have completed your assessment, use the report template provided</w:t>
      </w:r>
      <w:r w:rsidRPr="00FE3286">
        <w:rPr>
          <w:i/>
        </w:rPr>
        <w:t xml:space="preserve"> </w:t>
      </w:r>
      <w:r w:rsidRPr="00AE46B3">
        <w:rPr>
          <w:i/>
        </w:rPr>
        <w:t>specific</w:t>
      </w:r>
      <w:r>
        <w:rPr>
          <w:i/>
        </w:rPr>
        <w:t>ally</w:t>
      </w:r>
      <w:r w:rsidRPr="00AE46B3">
        <w:rPr>
          <w:i/>
        </w:rPr>
        <w:t xml:space="preserve"> for </w:t>
      </w:r>
      <w:r>
        <w:rPr>
          <w:i/>
        </w:rPr>
        <w:t xml:space="preserve">Individual and Society </w:t>
      </w:r>
      <w:r w:rsidRPr="00AE46B3">
        <w:rPr>
          <w:i/>
        </w:rPr>
        <w:t xml:space="preserve">to show your </w:t>
      </w:r>
      <w:r>
        <w:rPr>
          <w:i/>
        </w:rPr>
        <w:t>aggregated</w:t>
      </w:r>
      <w:r w:rsidRPr="00AE46B3">
        <w:rPr>
          <w:i/>
        </w:rPr>
        <w:t xml:space="preserve"> results. (4) Please answer all questions </w:t>
      </w:r>
      <w:r>
        <w:rPr>
          <w:i/>
        </w:rPr>
        <w:t>o</w:t>
      </w:r>
      <w:r w:rsidRPr="00AE46B3">
        <w:rPr>
          <w:i/>
        </w:rPr>
        <w:t>n the report template about your results</w:t>
      </w:r>
      <w:r>
        <w:rPr>
          <w:i/>
        </w:rPr>
        <w:t xml:space="preserve"> – </w:t>
      </w:r>
      <w:r w:rsidRPr="00AE46B3">
        <w:rPr>
          <w:i/>
        </w:rPr>
        <w:t>what you have learned from them</w:t>
      </w:r>
      <w:r>
        <w:rPr>
          <w:i/>
        </w:rPr>
        <w:t xml:space="preserve"> </w:t>
      </w:r>
      <w:r w:rsidRPr="00AE46B3">
        <w:rPr>
          <w:i/>
        </w:rPr>
        <w:t>and how you will use them</w:t>
      </w:r>
      <w:r>
        <w:rPr>
          <w:i/>
        </w:rPr>
        <w:t xml:space="preserve"> – </w:t>
      </w:r>
      <w:r w:rsidRPr="00AE46B3">
        <w:rPr>
          <w:i/>
        </w:rPr>
        <w:t>as completely and as thoughtfully as you can.</w:t>
      </w:r>
    </w:p>
    <w:p w14:paraId="60CA1348" w14:textId="77777777" w:rsidR="007E099F" w:rsidRPr="003352D6" w:rsidRDefault="007E099F" w:rsidP="007E099F">
      <w:pPr>
        <w:spacing w:after="0"/>
        <w:rPr>
          <w:sz w:val="12"/>
          <w:szCs w:val="12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605"/>
        <w:gridCol w:w="2790"/>
        <w:gridCol w:w="2880"/>
        <w:gridCol w:w="2790"/>
        <w:gridCol w:w="3240"/>
      </w:tblGrid>
      <w:tr w:rsidR="007E099F" w14:paraId="028494F9" w14:textId="77777777" w:rsidTr="00493E85">
        <w:tc>
          <w:tcPr>
            <w:tcW w:w="2605" w:type="dxa"/>
            <w:vMerge w:val="restart"/>
            <w:vAlign w:val="bottom"/>
          </w:tcPr>
          <w:p w14:paraId="435293FD" w14:textId="7CFE6641" w:rsidR="007E099F" w:rsidRPr="00C97FA8" w:rsidRDefault="007E099F" w:rsidP="00493E8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97FA8">
              <w:rPr>
                <w:b/>
                <w:sz w:val="24"/>
                <w:szCs w:val="24"/>
              </w:rPr>
              <w:t xml:space="preserve">CUNY Pathways 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C97FA8">
              <w:rPr>
                <w:b/>
                <w:sz w:val="24"/>
                <w:szCs w:val="24"/>
              </w:rPr>
              <w:t>Outcome</w:t>
            </w:r>
            <w:r>
              <w:rPr>
                <w:b/>
                <w:sz w:val="24"/>
                <w:szCs w:val="24"/>
              </w:rPr>
              <w:t>: U.S. Experience in its Diversity</w:t>
            </w:r>
          </w:p>
        </w:tc>
        <w:tc>
          <w:tcPr>
            <w:tcW w:w="11700" w:type="dxa"/>
            <w:gridSpan w:val="4"/>
            <w:vAlign w:val="bottom"/>
          </w:tcPr>
          <w:p w14:paraId="52041ACA" w14:textId="77777777" w:rsidR="007E099F" w:rsidRPr="00C97FA8" w:rsidRDefault="007E099F" w:rsidP="00493E8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97FA8">
              <w:rPr>
                <w:i/>
                <w:sz w:val="24"/>
                <w:szCs w:val="24"/>
              </w:rPr>
              <w:t xml:space="preserve">Choose the </w:t>
            </w:r>
            <w:r>
              <w:rPr>
                <w:i/>
                <w:sz w:val="24"/>
                <w:szCs w:val="24"/>
              </w:rPr>
              <w:t xml:space="preserve">one </w:t>
            </w:r>
            <w:r w:rsidRPr="00C97FA8">
              <w:rPr>
                <w:i/>
                <w:sz w:val="24"/>
                <w:szCs w:val="24"/>
              </w:rPr>
              <w:t>box in each row below that best describes the level at which the student has demonstrated the described knowledge or skills through their work in the assignment or class.</w:t>
            </w:r>
          </w:p>
        </w:tc>
      </w:tr>
      <w:tr w:rsidR="007E099F" w14:paraId="44D0B97B" w14:textId="77777777" w:rsidTr="00493E85">
        <w:tc>
          <w:tcPr>
            <w:tcW w:w="2605" w:type="dxa"/>
            <w:vMerge/>
            <w:vAlign w:val="bottom"/>
          </w:tcPr>
          <w:p w14:paraId="3353C2EA" w14:textId="77777777" w:rsidR="007E099F" w:rsidRPr="00C97FA8" w:rsidRDefault="007E099F" w:rsidP="00493E8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2F69562A" w14:textId="77777777" w:rsidR="007E099F" w:rsidRPr="00C97FA8" w:rsidRDefault="007E099F" w:rsidP="00493E8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97FA8">
              <w:rPr>
                <w:b/>
                <w:sz w:val="24"/>
                <w:szCs w:val="24"/>
              </w:rPr>
              <w:t>Does Not Meet Expectations</w:t>
            </w:r>
          </w:p>
        </w:tc>
        <w:tc>
          <w:tcPr>
            <w:tcW w:w="2880" w:type="dxa"/>
            <w:vAlign w:val="bottom"/>
          </w:tcPr>
          <w:p w14:paraId="771B5ADA" w14:textId="77777777" w:rsidR="007E099F" w:rsidRPr="00C97FA8" w:rsidRDefault="007E099F" w:rsidP="00493E8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97FA8">
              <w:rPr>
                <w:b/>
                <w:sz w:val="24"/>
                <w:szCs w:val="24"/>
              </w:rPr>
              <w:t>Approaches Expectations</w:t>
            </w:r>
          </w:p>
        </w:tc>
        <w:tc>
          <w:tcPr>
            <w:tcW w:w="2790" w:type="dxa"/>
            <w:vAlign w:val="bottom"/>
          </w:tcPr>
          <w:p w14:paraId="6F7955FA" w14:textId="77777777" w:rsidR="007E099F" w:rsidRPr="00C97FA8" w:rsidRDefault="007E099F" w:rsidP="00493E8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14:paraId="1CE45088" w14:textId="77777777" w:rsidR="007E099F" w:rsidRPr="00C97FA8" w:rsidRDefault="007E099F" w:rsidP="00493E8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97FA8">
              <w:rPr>
                <w:b/>
                <w:sz w:val="24"/>
                <w:szCs w:val="24"/>
              </w:rPr>
              <w:t>Meets Expectations</w:t>
            </w:r>
          </w:p>
        </w:tc>
        <w:tc>
          <w:tcPr>
            <w:tcW w:w="3240" w:type="dxa"/>
            <w:vAlign w:val="bottom"/>
          </w:tcPr>
          <w:p w14:paraId="7DF23CDB" w14:textId="77777777" w:rsidR="007E099F" w:rsidRPr="00C97FA8" w:rsidRDefault="007E099F" w:rsidP="00493E8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14:paraId="51159A63" w14:textId="77777777" w:rsidR="007E099F" w:rsidRPr="00C97FA8" w:rsidRDefault="007E099F" w:rsidP="00493E8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97FA8">
              <w:rPr>
                <w:b/>
                <w:sz w:val="24"/>
                <w:szCs w:val="24"/>
              </w:rPr>
              <w:t>Exceeds Expectations</w:t>
            </w:r>
          </w:p>
        </w:tc>
      </w:tr>
      <w:tr w:rsidR="007E099F" w14:paraId="6D557914" w14:textId="77777777" w:rsidTr="00493E85">
        <w:tc>
          <w:tcPr>
            <w:tcW w:w="2605" w:type="dxa"/>
          </w:tcPr>
          <w:p w14:paraId="42B56311" w14:textId="05945ECE" w:rsidR="007E099F" w:rsidRDefault="007E099F" w:rsidP="00493E85">
            <w:pPr>
              <w:spacing w:line="230" w:lineRule="exact"/>
            </w:pPr>
            <w:r w:rsidRPr="006C2478">
              <w:t>1</w:t>
            </w:r>
            <w:r>
              <w:t>a</w:t>
            </w:r>
            <w:r w:rsidRPr="006C2478">
              <w:t xml:space="preserve">. </w:t>
            </w:r>
            <w:r w:rsidRPr="00D051B1">
              <w:rPr>
                <w:u w:val="single"/>
              </w:rPr>
              <w:t>Identify</w:t>
            </w:r>
            <w:r>
              <w:t xml:space="preserve"> the fundamental concepts and methods of a discipline </w:t>
            </w:r>
            <w:r w:rsidRPr="00DC3282">
              <w:t>exploring the relationship between the individual and society</w:t>
            </w:r>
            <w:r>
              <w:t>.</w:t>
            </w:r>
          </w:p>
        </w:tc>
        <w:tc>
          <w:tcPr>
            <w:tcW w:w="2790" w:type="dxa"/>
          </w:tcPr>
          <w:p w14:paraId="43A654B3" w14:textId="77777777" w:rsidR="007E099F" w:rsidRPr="006C2478" w:rsidRDefault="007E099F" w:rsidP="00493E85">
            <w:pPr>
              <w:spacing w:line="230" w:lineRule="exact"/>
            </w:pPr>
            <w:r>
              <w:t xml:space="preserve">Little or no </w:t>
            </w:r>
            <w:r w:rsidRPr="006C2478">
              <w:t xml:space="preserve">recognition or understanding of fundamental concepts </w:t>
            </w:r>
            <w:r>
              <w:t>and</w:t>
            </w:r>
            <w:r w:rsidRPr="006C2478">
              <w:t xml:space="preserve"> methods of the discipline.</w:t>
            </w:r>
          </w:p>
        </w:tc>
        <w:tc>
          <w:tcPr>
            <w:tcW w:w="2880" w:type="dxa"/>
          </w:tcPr>
          <w:p w14:paraId="5F0C227B" w14:textId="77777777" w:rsidR="007E099F" w:rsidRPr="006C2478" w:rsidRDefault="007E099F" w:rsidP="00493E85">
            <w:pPr>
              <w:spacing w:line="230" w:lineRule="exact"/>
            </w:pPr>
            <w:r>
              <w:t>Some limited recognition and</w:t>
            </w:r>
            <w:r w:rsidRPr="006C2478">
              <w:t xml:space="preserve"> understanding of fundamental conce</w:t>
            </w:r>
            <w:r>
              <w:t>pts and methods of the discipline, but at an incomplete or simplistic level.</w:t>
            </w:r>
          </w:p>
        </w:tc>
        <w:tc>
          <w:tcPr>
            <w:tcW w:w="2790" w:type="dxa"/>
          </w:tcPr>
          <w:p w14:paraId="6F939F26" w14:textId="77777777" w:rsidR="007E099F" w:rsidRPr="006C2478" w:rsidRDefault="007E099F" w:rsidP="00493E85">
            <w:pPr>
              <w:spacing w:line="230" w:lineRule="exact"/>
            </w:pPr>
            <w:r>
              <w:t xml:space="preserve">Clear </w:t>
            </w:r>
            <w:r w:rsidRPr="006C2478">
              <w:t xml:space="preserve">understanding of fundamental concepts </w:t>
            </w:r>
            <w:r>
              <w:t>and</w:t>
            </w:r>
            <w:r w:rsidRPr="006C2478">
              <w:t xml:space="preserve"> methods, in</w:t>
            </w:r>
            <w:r>
              <w:t xml:space="preserve">cluding some connection between or </w:t>
            </w:r>
            <w:r w:rsidRPr="006C2478">
              <w:t>among concepts and methods.</w:t>
            </w:r>
          </w:p>
        </w:tc>
        <w:tc>
          <w:tcPr>
            <w:tcW w:w="3240" w:type="dxa"/>
          </w:tcPr>
          <w:p w14:paraId="0D4D662D" w14:textId="77777777" w:rsidR="007E099F" w:rsidRPr="006C2478" w:rsidRDefault="007E099F" w:rsidP="00493E85">
            <w:pPr>
              <w:spacing w:line="230" w:lineRule="exact"/>
            </w:pPr>
            <w:r>
              <w:t>Advanced</w:t>
            </w:r>
            <w:r w:rsidRPr="006C2478">
              <w:t xml:space="preserve"> understanding of concepts </w:t>
            </w:r>
            <w:r>
              <w:t>and</w:t>
            </w:r>
            <w:r w:rsidRPr="006C2478">
              <w:t xml:space="preserve"> methods, including </w:t>
            </w:r>
            <w:r>
              <w:t>sophisticated</w:t>
            </w:r>
            <w:r w:rsidRPr="006C2478">
              <w:t xml:space="preserve"> connection between concepts covered in the class and the methods used to analyze them.</w:t>
            </w:r>
          </w:p>
        </w:tc>
      </w:tr>
      <w:tr w:rsidR="007E099F" w14:paraId="00233827" w14:textId="77777777" w:rsidTr="00493E85">
        <w:tc>
          <w:tcPr>
            <w:tcW w:w="2605" w:type="dxa"/>
          </w:tcPr>
          <w:p w14:paraId="0312DEF8" w14:textId="77777777" w:rsidR="007E099F" w:rsidRDefault="007E099F" w:rsidP="00493E85">
            <w:pPr>
              <w:spacing w:line="230" w:lineRule="exact"/>
            </w:pPr>
            <w:r w:rsidRPr="006C2478">
              <w:t>1</w:t>
            </w:r>
            <w:r>
              <w:t>b</w:t>
            </w:r>
            <w:r w:rsidRPr="006C2478">
              <w:t xml:space="preserve">. </w:t>
            </w:r>
            <w:r w:rsidRPr="00D051B1">
              <w:rPr>
                <w:u w:val="single"/>
              </w:rPr>
              <w:t>Apply</w:t>
            </w:r>
            <w:r>
              <w:t xml:space="preserve"> the fundamental concepts and methods of a discipline </w:t>
            </w:r>
            <w:r w:rsidRPr="00DC3282">
              <w:t>exploring the relationship between the individual and society</w:t>
            </w:r>
            <w:r>
              <w:t>.</w:t>
            </w:r>
          </w:p>
        </w:tc>
        <w:tc>
          <w:tcPr>
            <w:tcW w:w="2790" w:type="dxa"/>
          </w:tcPr>
          <w:p w14:paraId="06007663" w14:textId="77777777" w:rsidR="007E099F" w:rsidRPr="006C2478" w:rsidRDefault="007E099F" w:rsidP="00493E85">
            <w:pPr>
              <w:spacing w:line="230" w:lineRule="exact"/>
            </w:pPr>
            <w:r>
              <w:t xml:space="preserve">Little or </w:t>
            </w:r>
            <w:r w:rsidRPr="006C2478">
              <w:t xml:space="preserve">no </w:t>
            </w:r>
            <w:r>
              <w:t>application of</w:t>
            </w:r>
            <w:r w:rsidRPr="006C2478">
              <w:t xml:space="preserve"> the concepts </w:t>
            </w:r>
            <w:r>
              <w:t>and</w:t>
            </w:r>
            <w:r w:rsidRPr="006C2478">
              <w:t xml:space="preserve"> methods of the discipline to specific topics or problems</w:t>
            </w:r>
            <w:r>
              <w:t xml:space="preserve"> in the discipline</w:t>
            </w:r>
            <w:r w:rsidRPr="006C2478">
              <w:t>.</w:t>
            </w:r>
          </w:p>
        </w:tc>
        <w:tc>
          <w:tcPr>
            <w:tcW w:w="2880" w:type="dxa"/>
          </w:tcPr>
          <w:p w14:paraId="5ACA6079" w14:textId="77777777" w:rsidR="007E099F" w:rsidRPr="006C2478" w:rsidRDefault="007E099F" w:rsidP="00493E85">
            <w:pPr>
              <w:spacing w:line="230" w:lineRule="exact"/>
            </w:pPr>
            <w:r>
              <w:t>Some</w:t>
            </w:r>
            <w:r w:rsidRPr="006C2478">
              <w:t xml:space="preserve"> </w:t>
            </w:r>
            <w:r>
              <w:t>limited application of</w:t>
            </w:r>
            <w:r w:rsidRPr="006C2478">
              <w:t xml:space="preserve"> the concepts </w:t>
            </w:r>
            <w:r>
              <w:t>and</w:t>
            </w:r>
            <w:r w:rsidRPr="006C2478">
              <w:t xml:space="preserve"> methods of the discipline to specific topics or problems, but with</w:t>
            </w:r>
            <w:r>
              <w:t xml:space="preserve"> significant</w:t>
            </w:r>
            <w:r w:rsidRPr="006C2478">
              <w:t xml:space="preserve"> errors</w:t>
            </w:r>
            <w:r>
              <w:t>, gaps,</w:t>
            </w:r>
            <w:r w:rsidRPr="006C2478">
              <w:t xml:space="preserve"> or misunderstandings. </w:t>
            </w:r>
          </w:p>
        </w:tc>
        <w:tc>
          <w:tcPr>
            <w:tcW w:w="2790" w:type="dxa"/>
          </w:tcPr>
          <w:p w14:paraId="20E3EEBF" w14:textId="77777777" w:rsidR="007E099F" w:rsidRPr="006C2478" w:rsidRDefault="007E099F" w:rsidP="00493E85">
            <w:pPr>
              <w:spacing w:line="230" w:lineRule="exact"/>
            </w:pPr>
            <w:r>
              <w:t>More advanced application of</w:t>
            </w:r>
            <w:r w:rsidRPr="006C2478">
              <w:t xml:space="preserve"> the concepts </w:t>
            </w:r>
            <w:r>
              <w:t>and</w:t>
            </w:r>
            <w:r w:rsidRPr="006C2478">
              <w:t xml:space="preserve"> methods of the discipline to specific topics or problems, with </w:t>
            </w:r>
            <w:r>
              <w:t>minor</w:t>
            </w:r>
            <w:r w:rsidRPr="006C2478">
              <w:t xml:space="preserve"> errors</w:t>
            </w:r>
            <w:r>
              <w:t>, gaps,</w:t>
            </w:r>
            <w:r w:rsidRPr="006C2478">
              <w:t xml:space="preserve"> or misunderstandings.</w:t>
            </w:r>
          </w:p>
        </w:tc>
        <w:tc>
          <w:tcPr>
            <w:tcW w:w="3240" w:type="dxa"/>
          </w:tcPr>
          <w:p w14:paraId="49028132" w14:textId="64C1AA21" w:rsidR="007E099F" w:rsidRPr="006C2478" w:rsidRDefault="007E099F" w:rsidP="00493E85">
            <w:pPr>
              <w:spacing w:line="230" w:lineRule="exact"/>
            </w:pPr>
            <w:r>
              <w:t>A</w:t>
            </w:r>
            <w:r w:rsidRPr="006C2478">
              <w:t xml:space="preserve">dvanced </w:t>
            </w:r>
            <w:r>
              <w:t>application of the</w:t>
            </w:r>
            <w:r w:rsidRPr="006C2478">
              <w:t xml:space="preserve"> concepts </w:t>
            </w:r>
            <w:r>
              <w:t>and</w:t>
            </w:r>
            <w:r w:rsidRPr="006C2478">
              <w:t xml:space="preserve"> methods of the discipline to specific topics or problems, with few or no errors</w:t>
            </w:r>
            <w:r>
              <w:t>, gaps, or misunderstandings, showing</w:t>
            </w:r>
            <w:r w:rsidRPr="006C2478">
              <w:t xml:space="preserve"> understanding at a</w:t>
            </w:r>
            <w:r>
              <w:t xml:space="preserve"> more sophisticated level</w:t>
            </w:r>
            <w:r w:rsidRPr="006C2478">
              <w:t>.</w:t>
            </w:r>
          </w:p>
        </w:tc>
      </w:tr>
      <w:tr w:rsidR="007E099F" w14:paraId="2CE2BB1B" w14:textId="77777777" w:rsidTr="00493E85">
        <w:tc>
          <w:tcPr>
            <w:tcW w:w="2605" w:type="dxa"/>
          </w:tcPr>
          <w:p w14:paraId="622DF39A" w14:textId="77777777" w:rsidR="007E099F" w:rsidRPr="006C2478" w:rsidRDefault="007E099F" w:rsidP="00493E85">
            <w:pPr>
              <w:spacing w:line="230" w:lineRule="exact"/>
            </w:pPr>
            <w:r>
              <w:t xml:space="preserve">2. </w:t>
            </w:r>
            <w:r w:rsidRPr="00DC3282">
              <w:t>Examine how an individual's place in society affects experiences, values, or choices.</w:t>
            </w:r>
          </w:p>
        </w:tc>
        <w:tc>
          <w:tcPr>
            <w:tcW w:w="2790" w:type="dxa"/>
          </w:tcPr>
          <w:p w14:paraId="17E74712" w14:textId="77777777" w:rsidR="007E099F" w:rsidRPr="006C2478" w:rsidRDefault="007E099F" w:rsidP="00493E85">
            <w:pPr>
              <w:spacing w:line="230" w:lineRule="exact"/>
            </w:pPr>
            <w:r>
              <w:t xml:space="preserve">Little or </w:t>
            </w:r>
            <w:r w:rsidRPr="006C2478">
              <w:t xml:space="preserve">no </w:t>
            </w:r>
            <w:r>
              <w:t xml:space="preserve">examination of </w:t>
            </w:r>
            <w:r w:rsidRPr="00DC3282">
              <w:t>how an individual's place in society affects experiences, values, or choices.</w:t>
            </w:r>
          </w:p>
        </w:tc>
        <w:tc>
          <w:tcPr>
            <w:tcW w:w="2880" w:type="dxa"/>
          </w:tcPr>
          <w:p w14:paraId="3891382F" w14:textId="5386B96E" w:rsidR="007E099F" w:rsidRPr="006C2478" w:rsidRDefault="007E099F" w:rsidP="00493E85">
            <w:pPr>
              <w:spacing w:line="230" w:lineRule="exact"/>
            </w:pPr>
            <w:r>
              <w:t xml:space="preserve">Some limited examination of </w:t>
            </w:r>
            <w:r w:rsidRPr="00DC3282">
              <w:t>how an individual's place in society affects e</w:t>
            </w:r>
            <w:r>
              <w:t>xperiences, values, or choices, but showing only a simplistic or partial understanding, and with significant errors, gaps, or misunderstandings.</w:t>
            </w:r>
          </w:p>
        </w:tc>
        <w:tc>
          <w:tcPr>
            <w:tcW w:w="2790" w:type="dxa"/>
          </w:tcPr>
          <w:p w14:paraId="36252802" w14:textId="77777777" w:rsidR="007E099F" w:rsidRPr="006C2478" w:rsidRDefault="007E099F" w:rsidP="00493E85">
            <w:pPr>
              <w:spacing w:line="230" w:lineRule="exact"/>
            </w:pPr>
            <w:r>
              <w:t xml:space="preserve">More advanced examination of </w:t>
            </w:r>
            <w:r w:rsidRPr="00DC3282">
              <w:t>how an individual's place in society affects e</w:t>
            </w:r>
            <w:r>
              <w:t xml:space="preserve">xperiences, values, or choices, </w:t>
            </w:r>
            <w:r w:rsidRPr="006C2478">
              <w:t xml:space="preserve">with </w:t>
            </w:r>
            <w:r>
              <w:t>minor</w:t>
            </w:r>
            <w:r w:rsidRPr="006C2478">
              <w:t xml:space="preserve"> errors</w:t>
            </w:r>
            <w:r>
              <w:t>, gaps,</w:t>
            </w:r>
            <w:r w:rsidRPr="006C2478">
              <w:t xml:space="preserve"> or misunderstandings.</w:t>
            </w:r>
          </w:p>
        </w:tc>
        <w:tc>
          <w:tcPr>
            <w:tcW w:w="3240" w:type="dxa"/>
          </w:tcPr>
          <w:p w14:paraId="4A7CB2C3" w14:textId="77777777" w:rsidR="007E099F" w:rsidRPr="006C2478" w:rsidRDefault="007E099F" w:rsidP="00493E85">
            <w:pPr>
              <w:spacing w:line="230" w:lineRule="exact"/>
            </w:pPr>
            <w:r>
              <w:t xml:space="preserve">Advanced examination of </w:t>
            </w:r>
            <w:r w:rsidRPr="00DC3282">
              <w:t>how an individual's place in society affects e</w:t>
            </w:r>
            <w:r>
              <w:t xml:space="preserve">xperiences, values, or choices, </w:t>
            </w:r>
            <w:r w:rsidRPr="00C80573">
              <w:t xml:space="preserve">with few </w:t>
            </w:r>
            <w:r>
              <w:t xml:space="preserve">or no </w:t>
            </w:r>
            <w:r w:rsidRPr="00C80573">
              <w:t xml:space="preserve">errors, gaps, or </w:t>
            </w:r>
            <w:r>
              <w:t xml:space="preserve">misunderstandings, showing </w:t>
            </w:r>
            <w:r w:rsidRPr="006C2478">
              <w:t>understanding at a</w:t>
            </w:r>
            <w:r>
              <w:t xml:space="preserve"> more sophisticated level</w:t>
            </w:r>
            <w:r w:rsidRPr="006C2478">
              <w:t>.</w:t>
            </w:r>
          </w:p>
        </w:tc>
      </w:tr>
      <w:tr w:rsidR="007E099F" w14:paraId="0D7A2A4C" w14:textId="77777777" w:rsidTr="00493E85">
        <w:tc>
          <w:tcPr>
            <w:tcW w:w="2605" w:type="dxa"/>
          </w:tcPr>
          <w:p w14:paraId="1130D39A" w14:textId="77777777" w:rsidR="007E099F" w:rsidRPr="006C2478" w:rsidRDefault="007E099F" w:rsidP="00493E85">
            <w:pPr>
              <w:spacing w:line="230" w:lineRule="exact"/>
            </w:pPr>
            <w:r>
              <w:t xml:space="preserve">3. </w:t>
            </w:r>
            <w:r w:rsidRPr="00DC3282">
              <w:t>Articulate and assess ethical views and their underlying premises.</w:t>
            </w:r>
          </w:p>
        </w:tc>
        <w:tc>
          <w:tcPr>
            <w:tcW w:w="2790" w:type="dxa"/>
          </w:tcPr>
          <w:p w14:paraId="193277CA" w14:textId="77777777" w:rsidR="007E099F" w:rsidRPr="006C2478" w:rsidRDefault="007E099F" w:rsidP="00493E85">
            <w:pPr>
              <w:spacing w:line="230" w:lineRule="exact"/>
            </w:pPr>
            <w:r>
              <w:t>L</w:t>
            </w:r>
            <w:r w:rsidRPr="006C2478">
              <w:t xml:space="preserve">ittle or no </w:t>
            </w:r>
            <w:r>
              <w:t>articulation or assessment of ethical views or their underlying premises.</w:t>
            </w:r>
          </w:p>
        </w:tc>
        <w:tc>
          <w:tcPr>
            <w:tcW w:w="2880" w:type="dxa"/>
          </w:tcPr>
          <w:p w14:paraId="402A46BE" w14:textId="77777777" w:rsidR="007E099F" w:rsidRPr="006C2478" w:rsidRDefault="007E099F" w:rsidP="00493E85">
            <w:pPr>
              <w:spacing w:line="230" w:lineRule="exact"/>
            </w:pPr>
            <w:r>
              <w:t xml:space="preserve">A </w:t>
            </w:r>
            <w:r w:rsidRPr="006C2478">
              <w:t>simplistic</w:t>
            </w:r>
            <w:r>
              <w:t xml:space="preserve"> or partial articulation and assessment</w:t>
            </w:r>
            <w:r w:rsidRPr="006C2478">
              <w:t xml:space="preserve"> of </w:t>
            </w:r>
            <w:r>
              <w:t>ethical views, or their underlying premises.</w:t>
            </w:r>
          </w:p>
        </w:tc>
        <w:tc>
          <w:tcPr>
            <w:tcW w:w="2790" w:type="dxa"/>
          </w:tcPr>
          <w:p w14:paraId="69B4ED0E" w14:textId="6542F22C" w:rsidR="007E099F" w:rsidRPr="006C2478" w:rsidRDefault="007E099F" w:rsidP="00493E85">
            <w:pPr>
              <w:spacing w:line="230" w:lineRule="exact"/>
            </w:pPr>
            <w:r>
              <w:t>A fairly complete articulation and assessment of ethical views or their underlying premises,</w:t>
            </w:r>
            <w:r w:rsidRPr="006C2478">
              <w:t xml:space="preserve"> </w:t>
            </w:r>
            <w:r>
              <w:t>with minor errors, gaps or misunderstandings.</w:t>
            </w:r>
          </w:p>
        </w:tc>
        <w:tc>
          <w:tcPr>
            <w:tcW w:w="3240" w:type="dxa"/>
          </w:tcPr>
          <w:p w14:paraId="5CF711FE" w14:textId="77777777" w:rsidR="007E099F" w:rsidRPr="006C2478" w:rsidRDefault="007E099F" w:rsidP="00493E85">
            <w:pPr>
              <w:spacing w:line="230" w:lineRule="exact"/>
            </w:pPr>
            <w:r>
              <w:t>Advanced articulation and assessment of ethical views, or their underlying premises, showing</w:t>
            </w:r>
            <w:r w:rsidRPr="006C2478">
              <w:t xml:space="preserve"> understanding at a</w:t>
            </w:r>
            <w:r>
              <w:t xml:space="preserve"> more sophisticated level</w:t>
            </w:r>
            <w:r w:rsidRPr="006C2478">
              <w:t>.</w:t>
            </w:r>
          </w:p>
        </w:tc>
      </w:tr>
    </w:tbl>
    <w:p w14:paraId="291C668F" w14:textId="00B00D64" w:rsidR="007E099F" w:rsidRPr="007E099F" w:rsidRDefault="007E099F" w:rsidP="004300DC">
      <w:pPr>
        <w:rPr>
          <w:i/>
        </w:rPr>
      </w:pPr>
      <w:r>
        <w:rPr>
          <w:i/>
        </w:rPr>
        <w:t>Final</w:t>
      </w:r>
      <w:r w:rsidRPr="00EB4943">
        <w:rPr>
          <w:i/>
        </w:rPr>
        <w:t xml:space="preserve"> – </w:t>
      </w:r>
      <w:r>
        <w:rPr>
          <w:i/>
        </w:rPr>
        <w:t>5</w:t>
      </w:r>
      <w:r w:rsidRPr="00EB4943">
        <w:rPr>
          <w:i/>
        </w:rPr>
        <w:t>/</w:t>
      </w:r>
      <w:r>
        <w:rPr>
          <w:i/>
        </w:rPr>
        <w:t>14</w:t>
      </w:r>
      <w:r w:rsidRPr="00EB4943">
        <w:rPr>
          <w:i/>
        </w:rPr>
        <w:t>/20</w:t>
      </w:r>
    </w:p>
    <w:sectPr w:rsidR="007E099F" w:rsidRPr="007E099F" w:rsidSect="00934B2F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2178D" w14:textId="77777777" w:rsidR="003054D8" w:rsidRDefault="003054D8">
      <w:pPr>
        <w:spacing w:after="0" w:line="240" w:lineRule="auto"/>
      </w:pPr>
      <w:r>
        <w:separator/>
      </w:r>
    </w:p>
  </w:endnote>
  <w:endnote w:type="continuationSeparator" w:id="0">
    <w:p w14:paraId="6DEDFF50" w14:textId="77777777" w:rsidR="003054D8" w:rsidRDefault="0030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77B88" w14:textId="52794C2E" w:rsidR="004838E9" w:rsidRPr="003B7471" w:rsidRDefault="000741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eastAsia="Garamond" w:hAnsiTheme="majorHAnsi" w:cs="Garamond"/>
        <w:color w:val="000000"/>
        <w:sz w:val="20"/>
        <w:szCs w:val="20"/>
      </w:rPr>
    </w:pPr>
    <w:r>
      <w:rPr>
        <w:rFonts w:asciiTheme="majorHAnsi" w:eastAsia="Garamond" w:hAnsiTheme="majorHAnsi" w:cs="Garamond"/>
        <w:color w:val="000000"/>
        <w:sz w:val="20"/>
        <w:szCs w:val="20"/>
      </w:rPr>
      <w:t>CUNY Pathways/</w:t>
    </w:r>
    <w:r w:rsidR="00934B2F" w:rsidRPr="003B7471">
      <w:rPr>
        <w:rFonts w:asciiTheme="majorHAnsi" w:eastAsia="Garamond" w:hAnsiTheme="majorHAnsi" w:cs="Garamond"/>
        <w:color w:val="000000"/>
        <w:sz w:val="20"/>
        <w:szCs w:val="20"/>
      </w:rPr>
      <w:t>General Education Ass</w:t>
    </w:r>
    <w:r w:rsidR="003B7471" w:rsidRPr="003B7471">
      <w:rPr>
        <w:rFonts w:asciiTheme="majorHAnsi" w:eastAsia="Garamond" w:hAnsiTheme="majorHAnsi" w:cs="Garamond"/>
        <w:color w:val="000000"/>
        <w:sz w:val="20"/>
        <w:szCs w:val="20"/>
      </w:rPr>
      <w:t xml:space="preserve">essment Report, </w:t>
    </w:r>
    <w:r w:rsidR="00F13C41">
      <w:rPr>
        <w:rFonts w:asciiTheme="majorHAnsi" w:eastAsia="Garamond" w:hAnsiTheme="majorHAnsi" w:cs="Garamond"/>
        <w:color w:val="000000"/>
        <w:sz w:val="20"/>
        <w:szCs w:val="20"/>
      </w:rPr>
      <w:t>Individual &amp; Society</w:t>
    </w:r>
    <w:r w:rsidR="00AA43CF">
      <w:rPr>
        <w:rFonts w:asciiTheme="majorHAnsi" w:eastAsia="Garamond" w:hAnsiTheme="majorHAnsi" w:cs="Garamond"/>
        <w:color w:val="000000"/>
        <w:sz w:val="20"/>
        <w:szCs w:val="20"/>
      </w:rPr>
      <w:t>:</w:t>
    </w:r>
    <w:r w:rsidR="00934B2F" w:rsidRPr="003B7471">
      <w:rPr>
        <w:rFonts w:asciiTheme="majorHAnsi" w:eastAsia="Garamond" w:hAnsiTheme="majorHAnsi" w:cs="Garamond"/>
        <w:color w:val="000000"/>
        <w:sz w:val="20"/>
        <w:szCs w:val="20"/>
      </w:rPr>
      <w:t xml:space="preserve"> </w:t>
    </w:r>
    <w:r w:rsidR="003B7471" w:rsidRPr="003B7471">
      <w:rPr>
        <w:rFonts w:asciiTheme="majorHAnsi" w:eastAsia="Garamond" w:hAnsiTheme="majorHAnsi" w:cs="Garamond"/>
        <w:color w:val="000000"/>
        <w:sz w:val="20"/>
        <w:szCs w:val="20"/>
      </w:rPr>
      <w:t>Fall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A083" w14:textId="77777777" w:rsidR="003054D8" w:rsidRDefault="003054D8">
      <w:pPr>
        <w:spacing w:after="0" w:line="240" w:lineRule="auto"/>
      </w:pPr>
      <w:r>
        <w:separator/>
      </w:r>
    </w:p>
  </w:footnote>
  <w:footnote w:type="continuationSeparator" w:id="0">
    <w:p w14:paraId="2228AF42" w14:textId="77777777" w:rsidR="003054D8" w:rsidRDefault="0030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84F72"/>
    <w:multiLevelType w:val="hybridMultilevel"/>
    <w:tmpl w:val="22D0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E9"/>
    <w:rsid w:val="000741D3"/>
    <w:rsid w:val="000D1C98"/>
    <w:rsid w:val="00154D29"/>
    <w:rsid w:val="001926AF"/>
    <w:rsid w:val="003054D8"/>
    <w:rsid w:val="00326F85"/>
    <w:rsid w:val="003B7471"/>
    <w:rsid w:val="003C6C94"/>
    <w:rsid w:val="004265F4"/>
    <w:rsid w:val="004300DC"/>
    <w:rsid w:val="00432C32"/>
    <w:rsid w:val="004838E9"/>
    <w:rsid w:val="00526751"/>
    <w:rsid w:val="006246D0"/>
    <w:rsid w:val="00690C32"/>
    <w:rsid w:val="007A0260"/>
    <w:rsid w:val="007E099F"/>
    <w:rsid w:val="008726E1"/>
    <w:rsid w:val="00904191"/>
    <w:rsid w:val="00920EA5"/>
    <w:rsid w:val="00934B2F"/>
    <w:rsid w:val="00943398"/>
    <w:rsid w:val="00AA43CF"/>
    <w:rsid w:val="00C31EF0"/>
    <w:rsid w:val="00CE4D89"/>
    <w:rsid w:val="00DA6B21"/>
    <w:rsid w:val="00DD7A02"/>
    <w:rsid w:val="00EB5DC5"/>
    <w:rsid w:val="00EF6223"/>
    <w:rsid w:val="00F1227B"/>
    <w:rsid w:val="00F13C41"/>
    <w:rsid w:val="00F30A8C"/>
    <w:rsid w:val="00FE5749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3B4E"/>
  <w15:docId w15:val="{BB6E9778-D36E-1E47-9665-AE12C2E4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" w:after="0" w:line="240" w:lineRule="auto"/>
      <w:outlineLvl w:val="0"/>
    </w:pPr>
    <w:rPr>
      <w:rFonts w:ascii="Cambria" w:eastAsia="Cambria" w:hAnsi="Cambria" w:cs="Cambria"/>
      <w:b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2"/>
    </w:pPr>
    <w:rPr>
      <w:b/>
      <w:i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9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6AF"/>
  </w:style>
  <w:style w:type="paragraph" w:styleId="Footer">
    <w:name w:val="footer"/>
    <w:basedOn w:val="Normal"/>
    <w:link w:val="FooterChar"/>
    <w:uiPriority w:val="99"/>
    <w:unhideWhenUsed/>
    <w:rsid w:val="0019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AF"/>
  </w:style>
  <w:style w:type="character" w:styleId="Hyperlink">
    <w:name w:val="Hyperlink"/>
    <w:basedOn w:val="DefaultParagraphFont"/>
    <w:uiPriority w:val="99"/>
    <w:unhideWhenUsed/>
    <w:rsid w:val="00F12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398"/>
    <w:pPr>
      <w:ind w:left="720"/>
      <w:contextualSpacing/>
    </w:pPr>
  </w:style>
  <w:style w:type="table" w:styleId="TableGrid">
    <w:name w:val="Table Grid"/>
    <w:basedOn w:val="TableNormal"/>
    <w:uiPriority w:val="39"/>
    <w:rsid w:val="007E099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el.bloom@hunter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D Bloom</dc:creator>
  <cp:lastModifiedBy>Joel D Bloom</cp:lastModifiedBy>
  <cp:revision>3</cp:revision>
  <dcterms:created xsi:type="dcterms:W3CDTF">2020-09-18T16:23:00Z</dcterms:created>
  <dcterms:modified xsi:type="dcterms:W3CDTF">2020-09-18T17:03:00Z</dcterms:modified>
</cp:coreProperties>
</file>