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91" w:rsidRPr="001D5E91" w:rsidRDefault="00F53A75" w:rsidP="001D5E91">
      <w:pPr>
        <w:pStyle w:val="Default"/>
        <w:pageBreakBefore/>
        <w:widowControl/>
        <w:jc w:val="center"/>
        <w:rPr>
          <w:rFonts w:ascii="Times New Roman" w:hAnsi="Times New Roman" w:cs="Times New Roman"/>
          <w:color w:val="auto"/>
          <w:kern w:val="0"/>
        </w:rPr>
      </w:pPr>
      <w:r>
        <w:rPr>
          <w:b/>
          <w:bCs/>
          <w:sz w:val="28"/>
          <w:szCs w:val="28"/>
        </w:rPr>
        <w:t>THEAT</w:t>
      </w:r>
      <w:r w:rsidR="001D5E91">
        <w:rPr>
          <w:b/>
          <w:bCs/>
          <w:sz w:val="28"/>
          <w:szCs w:val="28"/>
        </w:rPr>
        <w:t>E</w:t>
      </w:r>
      <w:r>
        <w:rPr>
          <w:b/>
          <w:bCs/>
          <w:sz w:val="28"/>
          <w:szCs w:val="28"/>
        </w:rPr>
        <w:t>R</w:t>
      </w:r>
      <w:bookmarkStart w:id="0" w:name="_GoBack"/>
      <w:bookmarkEnd w:id="0"/>
      <w:r w:rsidR="001D5E91">
        <w:rPr>
          <w:b/>
          <w:bCs/>
          <w:sz w:val="28"/>
          <w:szCs w:val="28"/>
        </w:rPr>
        <w:t xml:space="preserve"> FACT SHEET</w:t>
      </w:r>
    </w:p>
    <w:p w:rsidR="001D5E91" w:rsidRPr="001D5E91" w:rsidRDefault="001D5E91" w:rsidP="001D5E91">
      <w:pPr>
        <w:overflowPunct/>
        <w:rPr>
          <w:color w:val="auto"/>
          <w:kern w:val="0"/>
          <w:sz w:val="24"/>
          <w:szCs w:val="24"/>
        </w:rPr>
        <w:sectPr w:rsidR="001D5E91" w:rsidRPr="001D5E91" w:rsidSect="001D5E91">
          <w:type w:val="continuous"/>
          <w:pgSz w:w="12240" w:h="15840"/>
          <w:pgMar w:top="720" w:right="720" w:bottom="720" w:left="720" w:header="720" w:footer="720" w:gutter="0"/>
          <w:cols w:space="720"/>
          <w:noEndnote/>
          <w:docGrid w:linePitch="272"/>
        </w:sectPr>
      </w:pPr>
    </w:p>
    <w:p w:rsidR="001D5E91" w:rsidRDefault="001D5E91">
      <w:pPr>
        <w:pStyle w:val="Default"/>
        <w:widowControl/>
        <w:rPr>
          <w:b/>
          <w:bCs/>
          <w:sz w:val="20"/>
          <w:szCs w:val="20"/>
        </w:rPr>
      </w:pPr>
    </w:p>
    <w:p w:rsidR="003A17A7" w:rsidRPr="002665B3" w:rsidRDefault="003A17A7">
      <w:pPr>
        <w:pStyle w:val="Default"/>
        <w:widowControl/>
        <w:rPr>
          <w:b/>
          <w:bCs/>
          <w:sz w:val="22"/>
          <w:szCs w:val="22"/>
        </w:rPr>
      </w:pPr>
      <w:r w:rsidRPr="002665B3">
        <w:rPr>
          <w:b/>
          <w:bCs/>
          <w:sz w:val="22"/>
          <w:szCs w:val="22"/>
        </w:rPr>
        <w:t xml:space="preserve">STAGE DIMENSIONS </w:t>
      </w:r>
    </w:p>
    <w:p w:rsidR="003A17A7" w:rsidRPr="002665B3" w:rsidRDefault="003A17A7">
      <w:pPr>
        <w:pStyle w:val="Default"/>
        <w:widowControl/>
        <w:ind w:left="360" w:hanging="360"/>
        <w:rPr>
          <w:sz w:val="22"/>
          <w:szCs w:val="22"/>
        </w:rPr>
      </w:pPr>
      <w:r w:rsidRPr="002665B3">
        <w:rPr>
          <w:sz w:val="22"/>
          <w:szCs w:val="22"/>
        </w:rPr>
        <w:t xml:space="preserve">Proscenium - 29'10" W x 18'H (9.09m x 6.05m) </w:t>
      </w:r>
    </w:p>
    <w:p w:rsidR="003A17A7" w:rsidRPr="002665B3" w:rsidRDefault="003A17A7">
      <w:pPr>
        <w:pStyle w:val="Default"/>
        <w:widowControl/>
        <w:ind w:left="360" w:hanging="360"/>
        <w:rPr>
          <w:sz w:val="22"/>
          <w:szCs w:val="22"/>
        </w:rPr>
      </w:pPr>
      <w:r w:rsidRPr="002665B3">
        <w:rPr>
          <w:i/>
          <w:iCs/>
          <w:sz w:val="22"/>
          <w:szCs w:val="22"/>
        </w:rPr>
        <w:t xml:space="preserve">Depth </w:t>
      </w:r>
      <w:r w:rsidRPr="002665B3">
        <w:rPr>
          <w:sz w:val="22"/>
          <w:szCs w:val="22"/>
        </w:rPr>
        <w:t xml:space="preserve">- 31'2" (9.5m) </w:t>
      </w:r>
    </w:p>
    <w:p w:rsidR="003A17A7" w:rsidRPr="002665B3" w:rsidRDefault="003A17A7">
      <w:pPr>
        <w:pStyle w:val="Default"/>
        <w:widowControl/>
        <w:ind w:left="360" w:hanging="360"/>
        <w:rPr>
          <w:sz w:val="22"/>
          <w:szCs w:val="22"/>
        </w:rPr>
      </w:pPr>
      <w:r w:rsidRPr="002665B3">
        <w:rPr>
          <w:i/>
          <w:iCs/>
          <w:sz w:val="22"/>
          <w:szCs w:val="22"/>
        </w:rPr>
        <w:t xml:space="preserve">Apron </w:t>
      </w:r>
      <w:r w:rsidRPr="002665B3">
        <w:rPr>
          <w:sz w:val="22"/>
          <w:szCs w:val="22"/>
        </w:rPr>
        <w:t xml:space="preserve">- 4'2" (1.27m) </w:t>
      </w:r>
    </w:p>
    <w:p w:rsidR="003A17A7" w:rsidRPr="002665B3" w:rsidRDefault="003A17A7">
      <w:pPr>
        <w:pStyle w:val="Default"/>
        <w:widowControl/>
        <w:ind w:left="360" w:hanging="360"/>
        <w:rPr>
          <w:sz w:val="22"/>
          <w:szCs w:val="22"/>
        </w:rPr>
      </w:pPr>
      <w:r w:rsidRPr="002665B3">
        <w:rPr>
          <w:sz w:val="22"/>
          <w:szCs w:val="22"/>
        </w:rPr>
        <w:t xml:space="preserve">Wings - 12' SR and SL (4.88m) </w:t>
      </w:r>
    </w:p>
    <w:p w:rsidR="002665B3" w:rsidRDefault="003A17A7" w:rsidP="002665B3">
      <w:pPr>
        <w:pStyle w:val="Default"/>
        <w:widowControl/>
        <w:ind w:left="360" w:hanging="360"/>
        <w:rPr>
          <w:sz w:val="22"/>
          <w:szCs w:val="22"/>
        </w:rPr>
      </w:pPr>
      <w:r w:rsidRPr="002665B3">
        <w:rPr>
          <w:sz w:val="22"/>
          <w:szCs w:val="22"/>
        </w:rPr>
        <w:t xml:space="preserve">Orchestra Pit - 11'6" x 33'6" (4.77m x 14.98m) </w:t>
      </w:r>
    </w:p>
    <w:p w:rsidR="003A17A7" w:rsidRPr="002665B3" w:rsidRDefault="002665B3" w:rsidP="002665B3">
      <w:pPr>
        <w:pStyle w:val="Default"/>
        <w:widowControl/>
        <w:ind w:left="360" w:hanging="360"/>
        <w:rPr>
          <w:i/>
          <w:iCs/>
          <w:sz w:val="22"/>
          <w:szCs w:val="22"/>
        </w:rPr>
      </w:pPr>
      <w:r>
        <w:rPr>
          <w:sz w:val="22"/>
          <w:szCs w:val="22"/>
        </w:rPr>
        <w:t xml:space="preserve"> </w:t>
      </w:r>
      <w:r>
        <w:rPr>
          <w:sz w:val="22"/>
          <w:szCs w:val="22"/>
        </w:rPr>
        <w:tab/>
      </w:r>
      <w:r>
        <w:rPr>
          <w:sz w:val="22"/>
          <w:szCs w:val="22"/>
        </w:rPr>
        <w:tab/>
      </w:r>
      <w:r>
        <w:rPr>
          <w:sz w:val="22"/>
          <w:szCs w:val="22"/>
        </w:rPr>
        <w:tab/>
      </w:r>
      <w:proofErr w:type="gramStart"/>
      <w:r w:rsidR="003A17A7" w:rsidRPr="002665B3">
        <w:rPr>
          <w:i/>
          <w:iCs/>
          <w:sz w:val="22"/>
          <w:szCs w:val="22"/>
        </w:rPr>
        <w:t>at</w:t>
      </w:r>
      <w:proofErr w:type="gramEnd"/>
      <w:r w:rsidR="003A17A7" w:rsidRPr="002665B3">
        <w:rPr>
          <w:i/>
          <w:iCs/>
          <w:sz w:val="22"/>
          <w:szCs w:val="22"/>
        </w:rPr>
        <w:t xml:space="preserve"> center line </w:t>
      </w:r>
    </w:p>
    <w:p w:rsidR="003A17A7" w:rsidRPr="002665B3" w:rsidRDefault="003A17A7">
      <w:pPr>
        <w:pStyle w:val="Default"/>
        <w:widowControl/>
        <w:rPr>
          <w:sz w:val="22"/>
          <w:szCs w:val="22"/>
        </w:rPr>
      </w:pPr>
    </w:p>
    <w:p w:rsidR="003A17A7" w:rsidRPr="002665B3" w:rsidRDefault="003A17A7">
      <w:pPr>
        <w:pStyle w:val="Default"/>
        <w:widowControl/>
        <w:rPr>
          <w:sz w:val="22"/>
          <w:szCs w:val="22"/>
        </w:rPr>
      </w:pPr>
      <w:r w:rsidRPr="002665B3">
        <w:rPr>
          <w:b/>
          <w:bCs/>
          <w:sz w:val="22"/>
          <w:szCs w:val="22"/>
        </w:rPr>
        <w:t xml:space="preserve">STAGE FLOORING </w:t>
      </w:r>
      <w:r w:rsidRPr="002665B3">
        <w:rPr>
          <w:sz w:val="22"/>
          <w:szCs w:val="22"/>
        </w:rPr>
        <w:t xml:space="preserve">AGMA approved stage flooring </w:t>
      </w:r>
    </w:p>
    <w:p w:rsidR="003A17A7" w:rsidRPr="002665B3" w:rsidRDefault="003A17A7">
      <w:pPr>
        <w:pStyle w:val="Default"/>
        <w:widowControl/>
        <w:rPr>
          <w:sz w:val="22"/>
          <w:szCs w:val="22"/>
        </w:rPr>
      </w:pPr>
      <w:r w:rsidRPr="002665B3">
        <w:rPr>
          <w:sz w:val="22"/>
          <w:szCs w:val="22"/>
        </w:rPr>
        <w:t xml:space="preserve">Reversible black/gray </w:t>
      </w:r>
      <w:proofErr w:type="spellStart"/>
      <w:r w:rsidRPr="002665B3">
        <w:rPr>
          <w:sz w:val="22"/>
          <w:szCs w:val="22"/>
        </w:rPr>
        <w:t>marley</w:t>
      </w:r>
      <w:proofErr w:type="spellEnd"/>
      <w:r w:rsidRPr="002665B3">
        <w:rPr>
          <w:sz w:val="22"/>
          <w:szCs w:val="22"/>
        </w:rPr>
        <w:t xml:space="preserve">-type dance floor </w:t>
      </w:r>
    </w:p>
    <w:p w:rsidR="003A17A7" w:rsidRPr="002665B3" w:rsidRDefault="003A17A7">
      <w:pPr>
        <w:pStyle w:val="Default"/>
        <w:widowControl/>
        <w:rPr>
          <w:sz w:val="22"/>
          <w:szCs w:val="22"/>
        </w:rPr>
      </w:pPr>
    </w:p>
    <w:p w:rsidR="002665B3" w:rsidRDefault="003A17A7">
      <w:pPr>
        <w:pStyle w:val="Default"/>
        <w:widowControl/>
        <w:rPr>
          <w:sz w:val="22"/>
          <w:szCs w:val="22"/>
        </w:rPr>
      </w:pPr>
      <w:r w:rsidRPr="002665B3">
        <w:rPr>
          <w:b/>
          <w:bCs/>
          <w:sz w:val="22"/>
          <w:szCs w:val="22"/>
        </w:rPr>
        <w:t xml:space="preserve">SEATING </w:t>
      </w:r>
      <w:r w:rsidR="00560D0C" w:rsidRPr="002665B3">
        <w:rPr>
          <w:sz w:val="22"/>
          <w:szCs w:val="22"/>
        </w:rPr>
        <w:t xml:space="preserve">624 maximum capacity.  </w:t>
      </w:r>
    </w:p>
    <w:p w:rsidR="003A17A7" w:rsidRPr="002665B3" w:rsidRDefault="00560D0C">
      <w:pPr>
        <w:pStyle w:val="Default"/>
        <w:widowControl/>
        <w:rPr>
          <w:sz w:val="22"/>
          <w:szCs w:val="22"/>
        </w:rPr>
      </w:pPr>
      <w:r w:rsidRPr="002665B3">
        <w:rPr>
          <w:sz w:val="22"/>
          <w:szCs w:val="22"/>
        </w:rPr>
        <w:t>Additional 36 seats may be placed on orchestra lift for an additional charge.</w:t>
      </w:r>
    </w:p>
    <w:p w:rsidR="003A17A7" w:rsidRPr="002665B3" w:rsidRDefault="003A17A7" w:rsidP="00451713">
      <w:pPr>
        <w:pStyle w:val="Default"/>
        <w:widowControl/>
        <w:ind w:left="360" w:hanging="360"/>
        <w:rPr>
          <w:sz w:val="22"/>
          <w:szCs w:val="22"/>
        </w:rPr>
      </w:pPr>
      <w:r w:rsidRPr="002665B3">
        <w:rPr>
          <w:sz w:val="22"/>
          <w:szCs w:val="22"/>
        </w:rPr>
        <w:t>Orchestra: 4</w:t>
      </w:r>
      <w:r w:rsidR="00451713" w:rsidRPr="002665B3">
        <w:rPr>
          <w:sz w:val="22"/>
          <w:szCs w:val="22"/>
        </w:rPr>
        <w:t xml:space="preserve">38 </w:t>
      </w:r>
      <w:proofErr w:type="gramStart"/>
      <w:r w:rsidR="00451713" w:rsidRPr="002665B3">
        <w:rPr>
          <w:sz w:val="22"/>
          <w:szCs w:val="22"/>
        </w:rPr>
        <w:t>Fixed</w:t>
      </w:r>
      <w:proofErr w:type="gramEnd"/>
      <w:r w:rsidR="00451713" w:rsidRPr="002665B3">
        <w:rPr>
          <w:sz w:val="22"/>
          <w:szCs w:val="22"/>
        </w:rPr>
        <w:t xml:space="preserve"> seats, 16 Loose chairs </w:t>
      </w:r>
      <w:r w:rsidRPr="002665B3">
        <w:rPr>
          <w:i/>
          <w:iCs/>
          <w:sz w:val="22"/>
          <w:szCs w:val="22"/>
        </w:rPr>
        <w:t xml:space="preserve">(can be removed to accommodate </w:t>
      </w:r>
      <w:r w:rsidR="00451713" w:rsidRPr="002665B3">
        <w:rPr>
          <w:i/>
          <w:iCs/>
          <w:sz w:val="22"/>
          <w:szCs w:val="22"/>
        </w:rPr>
        <w:t>mobility impaired</w:t>
      </w:r>
      <w:r w:rsidRPr="002665B3">
        <w:rPr>
          <w:i/>
          <w:iCs/>
          <w:sz w:val="22"/>
          <w:szCs w:val="22"/>
        </w:rPr>
        <w:t xml:space="preserve">) </w:t>
      </w:r>
    </w:p>
    <w:p w:rsidR="003A17A7" w:rsidRPr="002665B3" w:rsidRDefault="003A17A7">
      <w:pPr>
        <w:pStyle w:val="Default"/>
        <w:widowControl/>
        <w:ind w:left="360" w:hanging="360"/>
        <w:rPr>
          <w:sz w:val="22"/>
          <w:szCs w:val="22"/>
        </w:rPr>
      </w:pPr>
      <w:r w:rsidRPr="002665B3">
        <w:rPr>
          <w:sz w:val="22"/>
          <w:szCs w:val="22"/>
        </w:rPr>
        <w:t>Balcony: 170 Seats</w:t>
      </w:r>
    </w:p>
    <w:p w:rsidR="003A17A7" w:rsidRPr="002665B3" w:rsidRDefault="003A17A7">
      <w:pPr>
        <w:pStyle w:val="Default"/>
        <w:widowControl/>
        <w:rPr>
          <w:sz w:val="22"/>
          <w:szCs w:val="22"/>
        </w:rPr>
      </w:pPr>
    </w:p>
    <w:p w:rsidR="003A17A7" w:rsidRPr="002665B3" w:rsidRDefault="003A17A7">
      <w:pPr>
        <w:pStyle w:val="Default"/>
        <w:widowControl/>
        <w:rPr>
          <w:sz w:val="22"/>
          <w:szCs w:val="22"/>
        </w:rPr>
      </w:pPr>
      <w:r w:rsidRPr="002665B3">
        <w:rPr>
          <w:b/>
          <w:bCs/>
          <w:sz w:val="22"/>
          <w:szCs w:val="22"/>
        </w:rPr>
        <w:t xml:space="preserve">LIGHTING </w:t>
      </w:r>
      <w:r w:rsidRPr="002665B3">
        <w:rPr>
          <w:sz w:val="22"/>
          <w:szCs w:val="22"/>
        </w:rPr>
        <w:t xml:space="preserve">Full Repertory Light plot with: </w:t>
      </w:r>
    </w:p>
    <w:p w:rsidR="002665B3" w:rsidRPr="002665B3" w:rsidRDefault="002665B3">
      <w:pPr>
        <w:pStyle w:val="Default"/>
        <w:widowControl/>
        <w:ind w:left="360" w:hanging="360"/>
        <w:rPr>
          <w:sz w:val="22"/>
          <w:szCs w:val="22"/>
        </w:rPr>
        <w:sectPr w:rsidR="002665B3" w:rsidRPr="002665B3">
          <w:type w:val="continuous"/>
          <w:pgSz w:w="12240" w:h="15840"/>
          <w:pgMar w:top="1440" w:right="1440" w:bottom="1440" w:left="1440" w:header="720" w:footer="720" w:gutter="0"/>
          <w:cols w:space="720"/>
          <w:noEndnote/>
        </w:sectPr>
      </w:pPr>
    </w:p>
    <w:p w:rsidR="003A17A7" w:rsidRPr="002665B3" w:rsidRDefault="003A17A7">
      <w:pPr>
        <w:pStyle w:val="Default"/>
        <w:widowControl/>
        <w:ind w:left="360" w:hanging="360"/>
        <w:rPr>
          <w:sz w:val="22"/>
          <w:szCs w:val="22"/>
        </w:rPr>
      </w:pPr>
      <w:r w:rsidRPr="002665B3">
        <w:rPr>
          <w:sz w:val="22"/>
          <w:szCs w:val="22"/>
        </w:rPr>
        <w:t xml:space="preserve">360 dimmers </w:t>
      </w:r>
    </w:p>
    <w:p w:rsidR="003A17A7" w:rsidRPr="002665B3" w:rsidRDefault="003A17A7">
      <w:pPr>
        <w:pStyle w:val="Default"/>
        <w:widowControl/>
        <w:ind w:left="360" w:hanging="360"/>
        <w:rPr>
          <w:sz w:val="22"/>
          <w:szCs w:val="22"/>
        </w:rPr>
      </w:pPr>
      <w:r w:rsidRPr="002665B3">
        <w:rPr>
          <w:sz w:val="22"/>
          <w:szCs w:val="22"/>
        </w:rPr>
        <w:t xml:space="preserve">192 focusing units </w:t>
      </w:r>
    </w:p>
    <w:p w:rsidR="003A17A7" w:rsidRPr="002665B3" w:rsidRDefault="006539A8">
      <w:pPr>
        <w:pStyle w:val="Default"/>
        <w:widowControl/>
        <w:ind w:left="360" w:hanging="360"/>
        <w:rPr>
          <w:sz w:val="22"/>
          <w:szCs w:val="22"/>
        </w:rPr>
      </w:pPr>
      <w:proofErr w:type="spellStart"/>
      <w:r w:rsidRPr="002665B3">
        <w:rPr>
          <w:sz w:val="22"/>
          <w:szCs w:val="22"/>
        </w:rPr>
        <w:t>Colorforce</w:t>
      </w:r>
      <w:proofErr w:type="spellEnd"/>
      <w:r w:rsidRPr="002665B3">
        <w:rPr>
          <w:sz w:val="22"/>
          <w:szCs w:val="22"/>
        </w:rPr>
        <w:t xml:space="preserve"> II </w:t>
      </w:r>
      <w:proofErr w:type="spellStart"/>
      <w:r w:rsidRPr="002665B3">
        <w:rPr>
          <w:sz w:val="22"/>
          <w:szCs w:val="22"/>
        </w:rPr>
        <w:t>cyc</w:t>
      </w:r>
      <w:proofErr w:type="spellEnd"/>
      <w:r w:rsidRPr="002665B3">
        <w:rPr>
          <w:sz w:val="22"/>
          <w:szCs w:val="22"/>
        </w:rPr>
        <w:t xml:space="preserve"> lights</w:t>
      </w:r>
    </w:p>
    <w:p w:rsidR="003A17A7" w:rsidRPr="002665B3" w:rsidRDefault="003A17A7">
      <w:pPr>
        <w:pStyle w:val="Default"/>
        <w:widowControl/>
        <w:ind w:left="360" w:hanging="360"/>
        <w:rPr>
          <w:sz w:val="22"/>
          <w:szCs w:val="22"/>
        </w:rPr>
      </w:pPr>
      <w:r w:rsidRPr="002665B3">
        <w:rPr>
          <w:sz w:val="22"/>
          <w:szCs w:val="22"/>
        </w:rPr>
        <w:t xml:space="preserve">103 additional lighting units </w:t>
      </w:r>
    </w:p>
    <w:p w:rsidR="003A17A7" w:rsidRPr="002665B3" w:rsidRDefault="003A17A7">
      <w:pPr>
        <w:pStyle w:val="Default"/>
        <w:widowControl/>
        <w:ind w:left="360" w:hanging="360"/>
        <w:rPr>
          <w:sz w:val="22"/>
          <w:szCs w:val="22"/>
        </w:rPr>
      </w:pPr>
      <w:r w:rsidRPr="002665B3">
        <w:rPr>
          <w:sz w:val="22"/>
          <w:szCs w:val="22"/>
        </w:rPr>
        <w:t xml:space="preserve">2 – 1200 watt HMI Lycian </w:t>
      </w:r>
      <w:proofErr w:type="spellStart"/>
      <w:r w:rsidRPr="002665B3">
        <w:rPr>
          <w:sz w:val="22"/>
          <w:szCs w:val="22"/>
        </w:rPr>
        <w:t>followspots</w:t>
      </w:r>
      <w:proofErr w:type="spellEnd"/>
      <w:r w:rsidRPr="002665B3">
        <w:rPr>
          <w:sz w:val="22"/>
          <w:szCs w:val="22"/>
        </w:rPr>
        <w:t xml:space="preserve"> </w:t>
      </w:r>
    </w:p>
    <w:p w:rsidR="003A17A7" w:rsidRPr="002665B3" w:rsidRDefault="003A17A7">
      <w:pPr>
        <w:pStyle w:val="Default"/>
        <w:widowControl/>
        <w:ind w:left="360" w:hanging="360"/>
        <w:rPr>
          <w:sz w:val="22"/>
          <w:szCs w:val="22"/>
        </w:rPr>
      </w:pPr>
      <w:r w:rsidRPr="002665B3">
        <w:rPr>
          <w:sz w:val="22"/>
          <w:szCs w:val="22"/>
        </w:rPr>
        <w:t xml:space="preserve">Computerized lighting console </w:t>
      </w:r>
      <w:r w:rsidRPr="002665B3">
        <w:rPr>
          <w:i/>
          <w:iCs/>
          <w:sz w:val="22"/>
          <w:szCs w:val="22"/>
        </w:rPr>
        <w:t xml:space="preserve">(ETC </w:t>
      </w:r>
      <w:r w:rsidR="00A57FF7" w:rsidRPr="002665B3">
        <w:rPr>
          <w:i/>
          <w:iCs/>
          <w:sz w:val="22"/>
          <w:szCs w:val="22"/>
        </w:rPr>
        <w:t>Ion 2048</w:t>
      </w:r>
      <w:r w:rsidRPr="002665B3">
        <w:rPr>
          <w:i/>
          <w:iCs/>
          <w:sz w:val="22"/>
          <w:szCs w:val="22"/>
        </w:rPr>
        <w:t xml:space="preserve">) </w:t>
      </w:r>
    </w:p>
    <w:p w:rsidR="003A17A7" w:rsidRPr="002665B3" w:rsidRDefault="003A17A7">
      <w:pPr>
        <w:pStyle w:val="Default"/>
        <w:widowControl/>
        <w:ind w:left="360" w:hanging="360"/>
        <w:rPr>
          <w:sz w:val="22"/>
          <w:szCs w:val="22"/>
        </w:rPr>
      </w:pPr>
      <w:r w:rsidRPr="002665B3">
        <w:rPr>
          <w:sz w:val="22"/>
          <w:szCs w:val="22"/>
        </w:rPr>
        <w:t xml:space="preserve">Ethernet system for remote DMX control </w:t>
      </w:r>
    </w:p>
    <w:p w:rsidR="002665B3" w:rsidRPr="002665B3" w:rsidRDefault="002665B3">
      <w:pPr>
        <w:pStyle w:val="Default"/>
        <w:widowControl/>
        <w:rPr>
          <w:b/>
          <w:bCs/>
          <w:sz w:val="22"/>
          <w:szCs w:val="22"/>
        </w:rPr>
        <w:sectPr w:rsidR="002665B3" w:rsidRPr="002665B3" w:rsidSect="002665B3">
          <w:type w:val="continuous"/>
          <w:pgSz w:w="12240" w:h="15840"/>
          <w:pgMar w:top="1440" w:right="1440" w:bottom="1440" w:left="1440" w:header="720" w:footer="720" w:gutter="0"/>
          <w:cols w:num="2" w:space="720"/>
          <w:noEndnote/>
        </w:sectPr>
      </w:pPr>
    </w:p>
    <w:p w:rsidR="003A17A7" w:rsidRPr="002665B3" w:rsidRDefault="003A17A7">
      <w:pPr>
        <w:pStyle w:val="Default"/>
        <w:widowControl/>
        <w:rPr>
          <w:b/>
          <w:bCs/>
          <w:sz w:val="22"/>
          <w:szCs w:val="22"/>
        </w:rPr>
      </w:pPr>
    </w:p>
    <w:p w:rsidR="003A17A7" w:rsidRPr="002665B3" w:rsidRDefault="003A17A7">
      <w:pPr>
        <w:pStyle w:val="Default"/>
        <w:widowControl/>
        <w:rPr>
          <w:sz w:val="22"/>
          <w:szCs w:val="22"/>
        </w:rPr>
      </w:pPr>
      <w:r w:rsidRPr="002665B3">
        <w:rPr>
          <w:b/>
          <w:bCs/>
          <w:sz w:val="22"/>
          <w:szCs w:val="22"/>
        </w:rPr>
        <w:t xml:space="preserve">SOUND SYSTEM </w:t>
      </w:r>
      <w:r w:rsidRPr="002665B3">
        <w:rPr>
          <w:sz w:val="22"/>
          <w:szCs w:val="22"/>
        </w:rPr>
        <w:t xml:space="preserve">Stereo sound system with: </w:t>
      </w:r>
    </w:p>
    <w:p w:rsidR="002665B3" w:rsidRPr="002665B3" w:rsidRDefault="002665B3">
      <w:pPr>
        <w:pStyle w:val="Default"/>
        <w:widowControl/>
        <w:ind w:left="360" w:hanging="360"/>
        <w:rPr>
          <w:sz w:val="22"/>
          <w:szCs w:val="22"/>
        </w:rPr>
        <w:sectPr w:rsidR="002665B3" w:rsidRPr="002665B3">
          <w:type w:val="continuous"/>
          <w:pgSz w:w="12240" w:h="15840"/>
          <w:pgMar w:top="1440" w:right="1440" w:bottom="1440" w:left="1440" w:header="720" w:footer="720" w:gutter="0"/>
          <w:cols w:space="720"/>
          <w:noEndnote/>
        </w:sectPr>
      </w:pPr>
    </w:p>
    <w:p w:rsidR="003A17A7" w:rsidRPr="002665B3" w:rsidRDefault="003A17A7">
      <w:pPr>
        <w:pStyle w:val="Default"/>
        <w:widowControl/>
        <w:ind w:left="360" w:hanging="360"/>
        <w:rPr>
          <w:sz w:val="22"/>
          <w:szCs w:val="22"/>
        </w:rPr>
      </w:pPr>
      <w:r w:rsidRPr="002665B3">
        <w:rPr>
          <w:sz w:val="22"/>
          <w:szCs w:val="22"/>
        </w:rPr>
        <w:t xml:space="preserve">4 Meyer CQ-Series Front of House speakers </w:t>
      </w:r>
    </w:p>
    <w:p w:rsidR="003A17A7" w:rsidRPr="002665B3" w:rsidRDefault="003A17A7">
      <w:pPr>
        <w:pStyle w:val="Default"/>
        <w:widowControl/>
        <w:ind w:left="360" w:hanging="360"/>
        <w:rPr>
          <w:sz w:val="22"/>
          <w:szCs w:val="22"/>
        </w:rPr>
      </w:pPr>
      <w:r w:rsidRPr="002665B3">
        <w:rPr>
          <w:sz w:val="22"/>
          <w:szCs w:val="22"/>
        </w:rPr>
        <w:t xml:space="preserve">6 Meyer UM-1P monitor speakers </w:t>
      </w:r>
    </w:p>
    <w:p w:rsidR="003A17A7" w:rsidRPr="002665B3" w:rsidRDefault="003A17A7">
      <w:pPr>
        <w:pStyle w:val="Default"/>
        <w:widowControl/>
        <w:ind w:left="360" w:hanging="360"/>
        <w:rPr>
          <w:sz w:val="22"/>
          <w:szCs w:val="22"/>
        </w:rPr>
      </w:pPr>
      <w:r w:rsidRPr="002665B3">
        <w:rPr>
          <w:sz w:val="22"/>
          <w:szCs w:val="22"/>
        </w:rPr>
        <w:t xml:space="preserve">56 channel digital mix board </w:t>
      </w:r>
      <w:r w:rsidRPr="002665B3">
        <w:rPr>
          <w:b/>
          <w:bCs/>
          <w:i/>
          <w:iCs/>
          <w:sz w:val="22"/>
          <w:szCs w:val="22"/>
        </w:rPr>
        <w:t xml:space="preserve">(Yamaha </w:t>
      </w:r>
      <w:r w:rsidR="00B46C90" w:rsidRPr="002665B3">
        <w:rPr>
          <w:b/>
          <w:bCs/>
          <w:i/>
          <w:iCs/>
          <w:sz w:val="22"/>
          <w:szCs w:val="22"/>
        </w:rPr>
        <w:t>CL5</w:t>
      </w:r>
      <w:r w:rsidRPr="002665B3">
        <w:rPr>
          <w:b/>
          <w:bCs/>
          <w:i/>
          <w:iCs/>
          <w:sz w:val="22"/>
          <w:szCs w:val="22"/>
        </w:rPr>
        <w:t xml:space="preserve">) </w:t>
      </w:r>
    </w:p>
    <w:p w:rsidR="003A17A7" w:rsidRPr="002665B3" w:rsidRDefault="003A17A7">
      <w:pPr>
        <w:pStyle w:val="Default"/>
        <w:widowControl/>
        <w:ind w:left="360" w:hanging="360"/>
        <w:rPr>
          <w:sz w:val="22"/>
          <w:szCs w:val="22"/>
        </w:rPr>
      </w:pPr>
      <w:r w:rsidRPr="002665B3">
        <w:rPr>
          <w:sz w:val="22"/>
          <w:szCs w:val="22"/>
        </w:rPr>
        <w:t xml:space="preserve">Complete playback and recording system </w:t>
      </w:r>
    </w:p>
    <w:p w:rsidR="002665B3" w:rsidRPr="002665B3" w:rsidRDefault="002665B3">
      <w:pPr>
        <w:pStyle w:val="Default"/>
        <w:widowControl/>
        <w:rPr>
          <w:b/>
          <w:bCs/>
          <w:sz w:val="22"/>
          <w:szCs w:val="22"/>
        </w:rPr>
        <w:sectPr w:rsidR="002665B3" w:rsidRPr="002665B3" w:rsidSect="002665B3">
          <w:type w:val="continuous"/>
          <w:pgSz w:w="12240" w:h="15840"/>
          <w:pgMar w:top="1440" w:right="1440" w:bottom="1440" w:left="1440" w:header="720" w:footer="720" w:gutter="0"/>
          <w:cols w:num="2" w:space="720"/>
          <w:noEndnote/>
        </w:sectPr>
      </w:pPr>
    </w:p>
    <w:p w:rsidR="003A17A7" w:rsidRPr="002665B3" w:rsidRDefault="003A17A7">
      <w:pPr>
        <w:pStyle w:val="Default"/>
        <w:widowControl/>
        <w:rPr>
          <w:b/>
          <w:bCs/>
          <w:sz w:val="22"/>
          <w:szCs w:val="22"/>
        </w:rPr>
      </w:pPr>
    </w:p>
    <w:p w:rsidR="003A17A7" w:rsidRPr="002665B3" w:rsidRDefault="003A17A7">
      <w:pPr>
        <w:pStyle w:val="Default"/>
        <w:widowControl/>
        <w:rPr>
          <w:b/>
          <w:bCs/>
          <w:sz w:val="22"/>
          <w:szCs w:val="22"/>
        </w:rPr>
      </w:pPr>
      <w:r w:rsidRPr="002665B3">
        <w:rPr>
          <w:b/>
          <w:bCs/>
          <w:sz w:val="22"/>
          <w:szCs w:val="22"/>
        </w:rPr>
        <w:t>REAR PROJECTION SCREEN AND PROJECTOR</w:t>
      </w:r>
    </w:p>
    <w:p w:rsidR="003A17A7" w:rsidRPr="002665B3" w:rsidRDefault="003A17A7">
      <w:pPr>
        <w:pStyle w:val="Default"/>
        <w:widowControl/>
        <w:ind w:left="360" w:hanging="360"/>
        <w:rPr>
          <w:b/>
          <w:bCs/>
          <w:sz w:val="22"/>
          <w:szCs w:val="22"/>
        </w:rPr>
      </w:pPr>
      <w:r w:rsidRPr="002665B3">
        <w:rPr>
          <w:color w:val="auto"/>
          <w:sz w:val="22"/>
          <w:szCs w:val="22"/>
        </w:rPr>
        <w:t>15' high x 20' wide rear projection screen with masking skirt</w:t>
      </w:r>
    </w:p>
    <w:p w:rsidR="003A17A7" w:rsidRPr="002665B3" w:rsidRDefault="006539A8">
      <w:pPr>
        <w:pStyle w:val="Default"/>
        <w:widowControl/>
        <w:ind w:left="360" w:hanging="360"/>
        <w:rPr>
          <w:b/>
          <w:bCs/>
          <w:sz w:val="22"/>
          <w:szCs w:val="22"/>
        </w:rPr>
      </w:pPr>
      <w:r w:rsidRPr="002665B3">
        <w:rPr>
          <w:color w:val="auto"/>
          <w:sz w:val="22"/>
          <w:szCs w:val="22"/>
        </w:rPr>
        <w:t>1 – Epson L1505 UHNL Projector with 12K Lumens, wide throw lens</w:t>
      </w:r>
    </w:p>
    <w:p w:rsidR="003A17A7" w:rsidRPr="002665B3" w:rsidRDefault="003A17A7">
      <w:pPr>
        <w:pStyle w:val="Default"/>
        <w:widowControl/>
        <w:rPr>
          <w:b/>
          <w:bCs/>
          <w:sz w:val="22"/>
          <w:szCs w:val="22"/>
        </w:rPr>
      </w:pPr>
    </w:p>
    <w:p w:rsidR="003A17A7" w:rsidRPr="002665B3" w:rsidRDefault="003A17A7">
      <w:pPr>
        <w:pStyle w:val="Default"/>
        <w:widowControl/>
        <w:rPr>
          <w:b/>
          <w:bCs/>
          <w:sz w:val="22"/>
          <w:szCs w:val="22"/>
        </w:rPr>
      </w:pPr>
      <w:r w:rsidRPr="002665B3">
        <w:rPr>
          <w:b/>
          <w:bCs/>
          <w:sz w:val="22"/>
          <w:szCs w:val="22"/>
        </w:rPr>
        <w:t xml:space="preserve">RIGGING </w:t>
      </w:r>
    </w:p>
    <w:p w:rsidR="003A17A7" w:rsidRPr="002665B3" w:rsidRDefault="003A17A7">
      <w:pPr>
        <w:pStyle w:val="Default"/>
        <w:widowControl/>
        <w:ind w:left="360" w:hanging="360"/>
        <w:rPr>
          <w:sz w:val="22"/>
          <w:szCs w:val="22"/>
        </w:rPr>
      </w:pPr>
      <w:r w:rsidRPr="002665B3">
        <w:rPr>
          <w:sz w:val="22"/>
          <w:szCs w:val="22"/>
        </w:rPr>
        <w:t xml:space="preserve">53 counterweight </w:t>
      </w:r>
      <w:proofErr w:type="spellStart"/>
      <w:r w:rsidRPr="002665B3">
        <w:rPr>
          <w:sz w:val="22"/>
          <w:szCs w:val="22"/>
        </w:rPr>
        <w:t>linesets</w:t>
      </w:r>
      <w:proofErr w:type="spellEnd"/>
      <w:r w:rsidRPr="002665B3">
        <w:rPr>
          <w:sz w:val="22"/>
          <w:szCs w:val="22"/>
        </w:rPr>
        <w:t xml:space="preserve"> on 6" centers</w:t>
      </w:r>
    </w:p>
    <w:p w:rsidR="003A17A7" w:rsidRPr="002665B3" w:rsidRDefault="003A17A7">
      <w:pPr>
        <w:pStyle w:val="Default"/>
        <w:widowControl/>
        <w:rPr>
          <w:sz w:val="22"/>
          <w:szCs w:val="22"/>
        </w:rPr>
      </w:pPr>
      <w:r w:rsidRPr="002665B3">
        <w:rPr>
          <w:sz w:val="22"/>
          <w:szCs w:val="22"/>
        </w:rPr>
        <w:t xml:space="preserve"> </w:t>
      </w:r>
    </w:p>
    <w:p w:rsidR="003A17A7" w:rsidRPr="002665B3" w:rsidRDefault="003A17A7">
      <w:pPr>
        <w:pStyle w:val="Default"/>
        <w:widowControl/>
        <w:rPr>
          <w:b/>
          <w:bCs/>
          <w:sz w:val="22"/>
          <w:szCs w:val="22"/>
        </w:rPr>
      </w:pPr>
      <w:r w:rsidRPr="002665B3">
        <w:rPr>
          <w:b/>
          <w:bCs/>
          <w:sz w:val="22"/>
          <w:szCs w:val="22"/>
        </w:rPr>
        <w:t xml:space="preserve">DRESSING ROOMS </w:t>
      </w:r>
    </w:p>
    <w:p w:rsidR="003A17A7" w:rsidRPr="002665B3" w:rsidRDefault="003A17A7">
      <w:pPr>
        <w:pStyle w:val="Default"/>
        <w:widowControl/>
        <w:ind w:left="360" w:hanging="360"/>
        <w:rPr>
          <w:sz w:val="22"/>
          <w:szCs w:val="22"/>
        </w:rPr>
      </w:pPr>
      <w:r w:rsidRPr="002665B3">
        <w:rPr>
          <w:sz w:val="22"/>
          <w:szCs w:val="22"/>
        </w:rPr>
        <w:t xml:space="preserve">10 rooms accommodating </w:t>
      </w:r>
      <w:r w:rsidR="00451713" w:rsidRPr="002665B3">
        <w:rPr>
          <w:sz w:val="22"/>
          <w:szCs w:val="22"/>
        </w:rPr>
        <w:t>62</w:t>
      </w:r>
      <w:r w:rsidRPr="002665B3">
        <w:rPr>
          <w:sz w:val="22"/>
          <w:szCs w:val="22"/>
        </w:rPr>
        <w:t xml:space="preserve"> performers </w:t>
      </w:r>
    </w:p>
    <w:p w:rsidR="003A17A7" w:rsidRPr="002665B3" w:rsidRDefault="003A17A7">
      <w:pPr>
        <w:pStyle w:val="Default"/>
        <w:widowControl/>
        <w:rPr>
          <w:sz w:val="22"/>
          <w:szCs w:val="22"/>
        </w:rPr>
      </w:pPr>
    </w:p>
    <w:p w:rsidR="003A17A7" w:rsidRPr="002665B3" w:rsidRDefault="003A17A7">
      <w:pPr>
        <w:pStyle w:val="Default"/>
        <w:widowControl/>
        <w:rPr>
          <w:b/>
          <w:bCs/>
          <w:sz w:val="22"/>
          <w:szCs w:val="22"/>
        </w:rPr>
      </w:pPr>
      <w:r w:rsidRPr="002665B3">
        <w:rPr>
          <w:b/>
          <w:bCs/>
          <w:sz w:val="22"/>
          <w:szCs w:val="22"/>
        </w:rPr>
        <w:t xml:space="preserve">SOFTGOODS </w:t>
      </w:r>
    </w:p>
    <w:p w:rsidR="002665B3" w:rsidRPr="002665B3" w:rsidRDefault="002665B3">
      <w:pPr>
        <w:pStyle w:val="Default"/>
        <w:widowControl/>
        <w:ind w:left="360" w:hanging="360"/>
        <w:rPr>
          <w:sz w:val="22"/>
          <w:szCs w:val="22"/>
        </w:rPr>
        <w:sectPr w:rsidR="002665B3" w:rsidRPr="002665B3">
          <w:type w:val="continuous"/>
          <w:pgSz w:w="12240" w:h="15840"/>
          <w:pgMar w:top="1440" w:right="1440" w:bottom="1440" w:left="1440" w:header="720" w:footer="720" w:gutter="0"/>
          <w:cols w:space="720"/>
          <w:noEndnote/>
        </w:sectPr>
      </w:pPr>
    </w:p>
    <w:p w:rsidR="002665B3" w:rsidRDefault="003A17A7">
      <w:pPr>
        <w:pStyle w:val="Default"/>
        <w:widowControl/>
        <w:ind w:left="360" w:hanging="360"/>
        <w:rPr>
          <w:sz w:val="22"/>
          <w:szCs w:val="22"/>
        </w:rPr>
      </w:pPr>
      <w:r w:rsidRPr="002665B3">
        <w:rPr>
          <w:sz w:val="22"/>
          <w:szCs w:val="22"/>
        </w:rPr>
        <w:t xml:space="preserve">Standard masking with 5 pairs black legs </w:t>
      </w:r>
    </w:p>
    <w:p w:rsidR="003A17A7" w:rsidRPr="002665B3" w:rsidRDefault="002665B3">
      <w:pPr>
        <w:pStyle w:val="Default"/>
        <w:widowControl/>
        <w:ind w:left="360" w:hanging="360"/>
        <w:rPr>
          <w:sz w:val="22"/>
          <w:szCs w:val="22"/>
        </w:rPr>
      </w:pPr>
      <w:r>
        <w:rPr>
          <w:sz w:val="22"/>
          <w:szCs w:val="22"/>
        </w:rPr>
        <w:t xml:space="preserve">   </w:t>
      </w:r>
      <w:proofErr w:type="gramStart"/>
      <w:r w:rsidR="003A17A7" w:rsidRPr="002665B3">
        <w:rPr>
          <w:sz w:val="22"/>
          <w:szCs w:val="22"/>
        </w:rPr>
        <w:t>and</w:t>
      </w:r>
      <w:proofErr w:type="gramEnd"/>
      <w:r w:rsidR="003A17A7" w:rsidRPr="002665B3">
        <w:rPr>
          <w:sz w:val="22"/>
          <w:szCs w:val="22"/>
        </w:rPr>
        <w:t xml:space="preserve"> borders </w:t>
      </w:r>
    </w:p>
    <w:p w:rsidR="002665B3" w:rsidRPr="002665B3" w:rsidRDefault="002665B3">
      <w:pPr>
        <w:pStyle w:val="Default"/>
        <w:widowControl/>
        <w:ind w:left="360" w:hanging="360"/>
        <w:rPr>
          <w:sz w:val="22"/>
          <w:szCs w:val="22"/>
        </w:rPr>
      </w:pPr>
      <w:r>
        <w:rPr>
          <w:sz w:val="22"/>
          <w:szCs w:val="22"/>
        </w:rPr>
        <w:t>Side tab</w:t>
      </w:r>
      <w:r w:rsidRPr="002665B3">
        <w:rPr>
          <w:sz w:val="22"/>
          <w:szCs w:val="22"/>
        </w:rPr>
        <w:t>s</w:t>
      </w:r>
    </w:p>
    <w:p w:rsidR="003A17A7" w:rsidRPr="002665B3" w:rsidRDefault="003A17A7">
      <w:pPr>
        <w:pStyle w:val="Default"/>
        <w:widowControl/>
        <w:ind w:left="360" w:hanging="360"/>
        <w:rPr>
          <w:sz w:val="22"/>
          <w:szCs w:val="22"/>
        </w:rPr>
      </w:pPr>
      <w:r w:rsidRPr="002665B3">
        <w:rPr>
          <w:sz w:val="22"/>
          <w:szCs w:val="22"/>
        </w:rPr>
        <w:t xml:space="preserve">Mid-stage black Traveler </w:t>
      </w:r>
    </w:p>
    <w:p w:rsidR="003A17A7" w:rsidRPr="002665B3" w:rsidRDefault="003A17A7">
      <w:pPr>
        <w:pStyle w:val="Default"/>
        <w:widowControl/>
        <w:ind w:left="360" w:hanging="360"/>
        <w:rPr>
          <w:sz w:val="22"/>
          <w:szCs w:val="22"/>
        </w:rPr>
      </w:pPr>
      <w:r w:rsidRPr="002665B3">
        <w:rPr>
          <w:sz w:val="22"/>
          <w:szCs w:val="22"/>
        </w:rPr>
        <w:t xml:space="preserve">Black Scrim and White Scrim </w:t>
      </w:r>
    </w:p>
    <w:p w:rsidR="003A17A7" w:rsidRPr="002665B3" w:rsidRDefault="003A17A7">
      <w:pPr>
        <w:pStyle w:val="Default"/>
        <w:widowControl/>
        <w:ind w:left="360" w:hanging="360"/>
        <w:rPr>
          <w:sz w:val="22"/>
          <w:szCs w:val="22"/>
        </w:rPr>
      </w:pPr>
      <w:r w:rsidRPr="002665B3">
        <w:rPr>
          <w:sz w:val="22"/>
          <w:szCs w:val="22"/>
        </w:rPr>
        <w:t xml:space="preserve">Natural Cyclorama </w:t>
      </w:r>
    </w:p>
    <w:p w:rsidR="002665B3" w:rsidRPr="002665B3" w:rsidRDefault="003A17A7">
      <w:pPr>
        <w:pStyle w:val="Default"/>
        <w:widowControl/>
        <w:ind w:left="360" w:hanging="360"/>
        <w:rPr>
          <w:sz w:val="22"/>
          <w:szCs w:val="22"/>
        </w:rPr>
      </w:pPr>
      <w:r w:rsidRPr="002665B3">
        <w:rPr>
          <w:sz w:val="22"/>
          <w:szCs w:val="22"/>
        </w:rPr>
        <w:t>Black Out Panels</w:t>
      </w:r>
    </w:p>
    <w:p w:rsidR="003A17A7" w:rsidRPr="002665B3" w:rsidRDefault="002665B3">
      <w:pPr>
        <w:pStyle w:val="Default"/>
        <w:widowControl/>
        <w:ind w:left="360" w:hanging="360"/>
        <w:rPr>
          <w:color w:val="auto"/>
          <w:kern w:val="0"/>
          <w:sz w:val="22"/>
          <w:szCs w:val="22"/>
        </w:rPr>
      </w:pPr>
      <w:r w:rsidRPr="002665B3">
        <w:rPr>
          <w:sz w:val="22"/>
          <w:szCs w:val="22"/>
        </w:rPr>
        <w:t>Pipe and Drape</w:t>
      </w:r>
      <w:r w:rsidR="003A17A7" w:rsidRPr="002665B3">
        <w:rPr>
          <w:sz w:val="22"/>
          <w:szCs w:val="22"/>
        </w:rPr>
        <w:t xml:space="preserve"> </w:t>
      </w:r>
    </w:p>
    <w:p w:rsidR="002665B3" w:rsidRPr="002665B3" w:rsidRDefault="002665B3">
      <w:pPr>
        <w:overflowPunct/>
        <w:rPr>
          <w:rFonts w:ascii="Calibri" w:hAnsi="Calibri" w:cs="Calibri"/>
          <w:color w:val="auto"/>
          <w:kern w:val="0"/>
          <w:sz w:val="22"/>
          <w:szCs w:val="22"/>
        </w:rPr>
        <w:sectPr w:rsidR="002665B3" w:rsidRPr="002665B3" w:rsidSect="002665B3">
          <w:type w:val="continuous"/>
          <w:pgSz w:w="12240" w:h="15840"/>
          <w:pgMar w:top="1440" w:right="1440" w:bottom="1440" w:left="1440" w:header="720" w:footer="720" w:gutter="0"/>
          <w:cols w:num="2" w:space="720"/>
          <w:noEndnote/>
        </w:sectPr>
      </w:pPr>
    </w:p>
    <w:p w:rsidR="003A17A7" w:rsidRPr="002665B3" w:rsidRDefault="003A17A7">
      <w:pPr>
        <w:overflowPunct/>
        <w:rPr>
          <w:rFonts w:ascii="Calibri" w:hAnsi="Calibri" w:cs="Calibri"/>
          <w:color w:val="auto"/>
          <w:kern w:val="0"/>
          <w:sz w:val="22"/>
          <w:szCs w:val="22"/>
        </w:rPr>
      </w:pPr>
    </w:p>
    <w:p w:rsidR="006539A8" w:rsidRPr="002665B3" w:rsidRDefault="006539A8">
      <w:pPr>
        <w:overflowPunct/>
        <w:rPr>
          <w:rFonts w:ascii="Calibri" w:hAnsi="Calibri" w:cs="Calibri"/>
          <w:b/>
          <w:color w:val="auto"/>
          <w:kern w:val="0"/>
          <w:sz w:val="22"/>
          <w:szCs w:val="22"/>
        </w:rPr>
        <w:sectPr w:rsidR="006539A8" w:rsidRPr="002665B3">
          <w:type w:val="continuous"/>
          <w:pgSz w:w="12240" w:h="15840"/>
          <w:pgMar w:top="1440" w:right="1440" w:bottom="1440" w:left="1440" w:header="720" w:footer="720" w:gutter="0"/>
          <w:cols w:space="720"/>
          <w:noEndnote/>
        </w:sectPr>
      </w:pPr>
      <w:r w:rsidRPr="002665B3">
        <w:rPr>
          <w:rFonts w:ascii="Calibri" w:hAnsi="Calibri" w:cs="Calibri"/>
          <w:b/>
          <w:color w:val="auto"/>
          <w:kern w:val="0"/>
          <w:sz w:val="22"/>
          <w:szCs w:val="22"/>
        </w:rPr>
        <w:t>OTHER</w:t>
      </w:r>
      <w:r w:rsidRPr="002665B3">
        <w:rPr>
          <w:rFonts w:ascii="Calibri" w:hAnsi="Calibri" w:cs="Calibri"/>
          <w:b/>
          <w:color w:val="auto"/>
          <w:kern w:val="0"/>
          <w:sz w:val="22"/>
          <w:szCs w:val="22"/>
        </w:rPr>
        <w:br/>
      </w:r>
      <w:r w:rsidR="002665B3" w:rsidRPr="002665B3">
        <w:rPr>
          <w:rFonts w:ascii="Calibri" w:hAnsi="Calibri" w:cs="Calibri"/>
          <w:color w:val="auto"/>
          <w:kern w:val="0"/>
          <w:sz w:val="22"/>
          <w:szCs w:val="22"/>
        </w:rPr>
        <w:t xml:space="preserve">1918 </w:t>
      </w:r>
      <w:r w:rsidRPr="002665B3">
        <w:rPr>
          <w:rFonts w:ascii="Calibri" w:hAnsi="Calibri" w:cs="Calibri"/>
          <w:color w:val="auto"/>
          <w:kern w:val="0"/>
          <w:sz w:val="22"/>
          <w:szCs w:val="22"/>
        </w:rPr>
        <w:t xml:space="preserve">Steinway Model D Grand </w:t>
      </w:r>
      <w:r w:rsidR="002665B3">
        <w:rPr>
          <w:rFonts w:ascii="Calibri" w:hAnsi="Calibri" w:cs="Calibri"/>
          <w:color w:val="auto"/>
          <w:kern w:val="0"/>
          <w:sz w:val="22"/>
          <w:szCs w:val="22"/>
        </w:rPr>
        <w:t>Piano</w:t>
      </w:r>
    </w:p>
    <w:p w:rsidR="003A17A7" w:rsidRPr="006539A8" w:rsidRDefault="003A17A7" w:rsidP="002F13AD">
      <w:pPr>
        <w:tabs>
          <w:tab w:val="center" w:pos="4622"/>
          <w:tab w:val="right" w:pos="9224"/>
        </w:tabs>
        <w:rPr>
          <w:rFonts w:asciiTheme="minorHAnsi" w:hAnsiTheme="minorHAnsi" w:cstheme="minorHAnsi"/>
          <w:color w:val="auto"/>
          <w:kern w:val="0"/>
        </w:rPr>
        <w:sectPr w:rsidR="003A17A7" w:rsidRPr="006539A8">
          <w:type w:val="continuous"/>
          <w:pgSz w:w="12240" w:h="15840"/>
          <w:pgMar w:top="1440" w:right="1440" w:bottom="1440" w:left="1440" w:header="720" w:footer="720" w:gutter="0"/>
          <w:cols w:space="720"/>
          <w:noEndnote/>
        </w:sectPr>
      </w:pPr>
    </w:p>
    <w:p w:rsidR="002665B3" w:rsidRDefault="002665B3">
      <w:pPr>
        <w:spacing w:line="275" w:lineRule="auto"/>
        <w:ind w:left="360"/>
        <w:jc w:val="center"/>
        <w:rPr>
          <w:rFonts w:ascii="Calibri" w:hAnsi="Calibri" w:cs="Calibri"/>
          <w:b/>
          <w:bCs/>
          <w:color w:val="auto"/>
          <w:sz w:val="28"/>
          <w:szCs w:val="28"/>
        </w:rPr>
      </w:pPr>
    </w:p>
    <w:p w:rsidR="003A17A7" w:rsidRDefault="003A17A7">
      <w:pPr>
        <w:spacing w:line="275" w:lineRule="auto"/>
        <w:ind w:left="360"/>
        <w:jc w:val="center"/>
        <w:rPr>
          <w:rFonts w:ascii="Calibri" w:hAnsi="Calibri" w:cs="Calibri"/>
          <w:b/>
          <w:bCs/>
          <w:color w:val="auto"/>
          <w:sz w:val="28"/>
          <w:szCs w:val="28"/>
        </w:rPr>
      </w:pPr>
      <w:r>
        <w:rPr>
          <w:rFonts w:ascii="Calibri" w:hAnsi="Calibri" w:cs="Calibri"/>
          <w:b/>
          <w:bCs/>
          <w:color w:val="auto"/>
          <w:sz w:val="28"/>
          <w:szCs w:val="28"/>
        </w:rPr>
        <w:t>RULES REGARDING ALCOHOL</w:t>
      </w:r>
    </w:p>
    <w:p w:rsidR="003A17A7" w:rsidRDefault="003A17A7">
      <w:pPr>
        <w:spacing w:line="275" w:lineRule="auto"/>
        <w:ind w:left="360"/>
        <w:jc w:val="center"/>
        <w:rPr>
          <w:rFonts w:ascii="Calibri" w:hAnsi="Calibri" w:cs="Calibri"/>
          <w:sz w:val="22"/>
          <w:szCs w:val="22"/>
        </w:rPr>
      </w:pPr>
    </w:p>
    <w:p w:rsidR="003A17A7" w:rsidRDefault="003A17A7">
      <w:pPr>
        <w:ind w:left="720" w:hanging="360"/>
        <w:jc w:val="both"/>
        <w:rPr>
          <w:rFonts w:ascii="Calibri" w:hAnsi="Calibri" w:cs="Calibri"/>
          <w:b/>
          <w:bCs/>
          <w:spacing w:val="7"/>
          <w:sz w:val="22"/>
          <w:szCs w:val="22"/>
          <w:u w:val="single"/>
        </w:rPr>
      </w:pPr>
      <w:r>
        <w:rPr>
          <w:rFonts w:ascii="Calibri" w:hAnsi="Calibri" w:cs="Calibri"/>
          <w:b/>
          <w:bCs/>
          <w:spacing w:val="7"/>
          <w:sz w:val="22"/>
          <w:szCs w:val="22"/>
          <w:u w:val="single"/>
        </w:rPr>
        <w:t>REQUIREMENTS DUE PRIOR TO EVENT</w:t>
      </w:r>
    </w:p>
    <w:p w:rsidR="003A17A7" w:rsidRDefault="003A17A7">
      <w:pPr>
        <w:ind w:left="720" w:hanging="360"/>
        <w:jc w:val="both"/>
        <w:rPr>
          <w:rFonts w:ascii="Calibri" w:hAnsi="Calibri" w:cs="Calibri"/>
          <w:b/>
          <w:bCs/>
          <w:sz w:val="22"/>
          <w:szCs w:val="22"/>
          <w:u w:val="single"/>
        </w:rPr>
      </w:pPr>
    </w:p>
    <w:p w:rsidR="003A17A7" w:rsidRDefault="003A17A7">
      <w:pPr>
        <w:ind w:left="360"/>
        <w:jc w:val="both"/>
        <w:rPr>
          <w:rFonts w:ascii="Calibri" w:hAnsi="Calibri" w:cs="Calibri"/>
          <w:sz w:val="22"/>
          <w:szCs w:val="22"/>
        </w:rPr>
      </w:pPr>
      <w:r>
        <w:rPr>
          <w:rFonts w:ascii="Calibri" w:hAnsi="Calibri" w:cs="Calibri"/>
          <w:sz w:val="22"/>
          <w:szCs w:val="22"/>
        </w:rPr>
        <w:t>Caterers must present the following at least one business day prior to the event in order to serve food and beverage (including alcohol) at Hunter College:</w:t>
      </w:r>
    </w:p>
    <w:p w:rsidR="003A17A7" w:rsidRDefault="003A17A7">
      <w:pPr>
        <w:ind w:left="360"/>
        <w:jc w:val="both"/>
        <w:rPr>
          <w:rFonts w:ascii="Calibri" w:hAnsi="Calibri" w:cs="Calibri"/>
          <w:sz w:val="22"/>
          <w:szCs w:val="22"/>
        </w:rPr>
      </w:pPr>
    </w:p>
    <w:p w:rsidR="003A17A7" w:rsidRPr="00C5799F" w:rsidRDefault="003A17A7" w:rsidP="00C5799F">
      <w:pPr>
        <w:ind w:left="720"/>
        <w:rPr>
          <w:rFonts w:asciiTheme="minorHAnsi" w:hAnsiTheme="minorHAnsi" w:cstheme="minorHAnsi"/>
          <w:sz w:val="22"/>
          <w:szCs w:val="22"/>
        </w:rPr>
      </w:pPr>
      <w:r w:rsidRPr="00C5799F">
        <w:rPr>
          <w:rFonts w:asciiTheme="minorHAnsi" w:hAnsiTheme="minorHAnsi" w:cstheme="minorHAnsi"/>
          <w:sz w:val="22"/>
          <w:szCs w:val="22"/>
        </w:rPr>
        <w:t>Copy of the caterer’s license to provide liquor OR the on-premi</w:t>
      </w:r>
      <w:r w:rsidR="00C5799F" w:rsidRPr="00C5799F">
        <w:rPr>
          <w:rFonts w:asciiTheme="minorHAnsi" w:hAnsiTheme="minorHAnsi" w:cstheme="minorHAnsi"/>
          <w:sz w:val="22"/>
          <w:szCs w:val="22"/>
        </w:rPr>
        <w:t xml:space="preserve">se liquor license from caterers </w:t>
      </w:r>
      <w:r w:rsidRPr="00C5799F">
        <w:rPr>
          <w:rFonts w:asciiTheme="minorHAnsi" w:hAnsiTheme="minorHAnsi" w:cstheme="minorHAnsi"/>
          <w:sz w:val="22"/>
          <w:szCs w:val="22"/>
        </w:rPr>
        <w:t>having an affiliation of restaurants seating 50 person or more;</w:t>
      </w:r>
    </w:p>
    <w:p w:rsidR="00C5799F" w:rsidRPr="00C5799F" w:rsidRDefault="00C5799F" w:rsidP="00C5799F">
      <w:pPr>
        <w:ind w:left="1800" w:hanging="360"/>
        <w:rPr>
          <w:rFonts w:asciiTheme="minorHAnsi" w:hAnsiTheme="minorHAnsi" w:cstheme="minorHAnsi"/>
          <w:sz w:val="22"/>
          <w:szCs w:val="22"/>
        </w:rPr>
      </w:pPr>
    </w:p>
    <w:p w:rsidR="003A17A7" w:rsidRPr="00C5799F" w:rsidRDefault="003A17A7" w:rsidP="00C5799F">
      <w:pPr>
        <w:ind w:left="720"/>
        <w:rPr>
          <w:rFonts w:asciiTheme="minorHAnsi" w:hAnsiTheme="minorHAnsi" w:cstheme="minorHAnsi"/>
          <w:sz w:val="22"/>
          <w:szCs w:val="22"/>
        </w:rPr>
      </w:pPr>
      <w:r w:rsidRPr="00C5799F">
        <w:rPr>
          <w:rFonts w:asciiTheme="minorHAnsi" w:hAnsiTheme="minorHAnsi" w:cstheme="minorHAnsi"/>
          <w:sz w:val="22"/>
          <w:szCs w:val="22"/>
        </w:rPr>
        <w:t>Copy of the caterer’s one-time permit to serve liquor at Hunter College for the specific event.</w:t>
      </w:r>
      <w:r w:rsidR="00A57FF7" w:rsidRPr="00C5799F">
        <w:rPr>
          <w:rFonts w:asciiTheme="minorHAnsi" w:hAnsiTheme="minorHAnsi" w:cstheme="minorHAnsi"/>
          <w:sz w:val="22"/>
          <w:szCs w:val="22"/>
        </w:rPr>
        <w:t xml:space="preserve"> </w:t>
      </w:r>
      <w:r w:rsidRPr="00C5799F">
        <w:rPr>
          <w:rFonts w:asciiTheme="minorHAnsi" w:hAnsiTheme="minorHAnsi" w:cstheme="minorHAnsi"/>
          <w:sz w:val="22"/>
          <w:szCs w:val="22"/>
        </w:rPr>
        <w:t xml:space="preserve">The application is found at </w:t>
      </w:r>
      <w:r w:rsidRPr="00C5799F">
        <w:rPr>
          <w:rFonts w:asciiTheme="minorHAnsi" w:hAnsiTheme="minorHAnsi" w:cstheme="minorHAnsi"/>
          <w:color w:val="0066FF"/>
          <w:sz w:val="22"/>
          <w:szCs w:val="22"/>
          <w:u w:val="single"/>
        </w:rPr>
        <w:t>http://www.sla.ny.gov/system/files/special-event-permit-061011.pdf</w:t>
      </w:r>
      <w:r w:rsidRPr="00C5799F">
        <w:rPr>
          <w:rFonts w:asciiTheme="minorHAnsi" w:hAnsiTheme="minorHAnsi" w:cstheme="minorHAnsi"/>
          <w:sz w:val="22"/>
          <w:szCs w:val="22"/>
        </w:rPr>
        <w:t>.This must be secured from the NY State Liquor Authority</w:t>
      </w:r>
      <w:r w:rsidR="00DC3439" w:rsidRPr="00C5799F">
        <w:rPr>
          <w:rFonts w:asciiTheme="minorHAnsi" w:hAnsiTheme="minorHAnsi" w:cstheme="minorHAnsi"/>
          <w:sz w:val="22"/>
          <w:szCs w:val="22"/>
        </w:rPr>
        <w:t xml:space="preserve">. </w:t>
      </w:r>
      <w:r w:rsidRPr="00C5799F">
        <w:rPr>
          <w:rFonts w:asciiTheme="minorHAnsi" w:hAnsiTheme="minorHAnsi" w:cstheme="minorHAnsi"/>
          <w:sz w:val="22"/>
          <w:szCs w:val="22"/>
        </w:rPr>
        <w:t>Application must be received by the Liquor Authority a minimum of 30 days prior to the function; and</w:t>
      </w:r>
    </w:p>
    <w:p w:rsidR="00C5799F" w:rsidRPr="00C5799F" w:rsidRDefault="00C5799F" w:rsidP="00C5799F">
      <w:pPr>
        <w:ind w:left="720"/>
        <w:rPr>
          <w:rFonts w:asciiTheme="minorHAnsi" w:hAnsiTheme="minorHAnsi" w:cstheme="minorHAnsi"/>
          <w:sz w:val="22"/>
          <w:szCs w:val="22"/>
        </w:rPr>
      </w:pPr>
    </w:p>
    <w:p w:rsidR="003A17A7" w:rsidRPr="00C5799F" w:rsidRDefault="003A17A7" w:rsidP="00C5799F">
      <w:pPr>
        <w:ind w:left="720"/>
        <w:rPr>
          <w:rFonts w:asciiTheme="minorHAnsi" w:hAnsiTheme="minorHAnsi" w:cstheme="minorHAnsi"/>
          <w:sz w:val="22"/>
          <w:szCs w:val="22"/>
        </w:rPr>
      </w:pPr>
      <w:r w:rsidRPr="00C5799F">
        <w:rPr>
          <w:rFonts w:asciiTheme="minorHAnsi" w:hAnsiTheme="minorHAnsi" w:cstheme="minorHAnsi"/>
          <w:sz w:val="22"/>
          <w:szCs w:val="22"/>
        </w:rPr>
        <w:t>Certificate of Insurance, including host liquor liability with minimum limits of $1,000,000 and a $5,000,000 in the aggregate.</w:t>
      </w:r>
      <w:r w:rsidR="00DC3439" w:rsidRPr="00C5799F">
        <w:rPr>
          <w:rFonts w:asciiTheme="minorHAnsi" w:hAnsiTheme="minorHAnsi" w:cstheme="minorHAnsi"/>
          <w:sz w:val="22"/>
          <w:szCs w:val="22"/>
        </w:rPr>
        <w:t xml:space="preserve"> </w:t>
      </w:r>
      <w:r w:rsidRPr="00C5799F">
        <w:rPr>
          <w:rFonts w:asciiTheme="minorHAnsi" w:hAnsiTheme="minorHAnsi" w:cstheme="minorHAnsi"/>
          <w:sz w:val="22"/>
          <w:szCs w:val="22"/>
        </w:rPr>
        <w:t xml:space="preserve">The insurance policy must name City University of New York, the Dormitory Authority of the State of New York, Hunter College, the City of New York, and New York State as additional insureds and defend Hunter College in the event of a lawsuit. </w:t>
      </w:r>
    </w:p>
    <w:p w:rsidR="003A17A7" w:rsidRPr="00C5799F" w:rsidRDefault="003A17A7">
      <w:pPr>
        <w:widowControl/>
        <w:jc w:val="both"/>
        <w:rPr>
          <w:rFonts w:asciiTheme="minorHAnsi" w:hAnsiTheme="minorHAnsi" w:cstheme="minorHAnsi"/>
          <w:b/>
          <w:bCs/>
          <w:spacing w:val="7"/>
          <w:sz w:val="22"/>
          <w:szCs w:val="22"/>
        </w:rPr>
      </w:pPr>
    </w:p>
    <w:p w:rsidR="003A17A7" w:rsidRDefault="003A17A7">
      <w:pPr>
        <w:ind w:left="720" w:hanging="360"/>
        <w:jc w:val="both"/>
        <w:rPr>
          <w:rFonts w:ascii="Calibri" w:hAnsi="Calibri" w:cs="Calibri"/>
          <w:b/>
          <w:bCs/>
          <w:spacing w:val="7"/>
          <w:sz w:val="22"/>
          <w:szCs w:val="22"/>
          <w:u w:val="single"/>
        </w:rPr>
      </w:pPr>
      <w:r>
        <w:rPr>
          <w:rFonts w:ascii="Calibri" w:hAnsi="Calibri" w:cs="Calibri"/>
          <w:b/>
          <w:bCs/>
          <w:spacing w:val="7"/>
          <w:sz w:val="22"/>
          <w:szCs w:val="22"/>
          <w:u w:val="single"/>
        </w:rPr>
        <w:t>OTHER RULES</w:t>
      </w:r>
    </w:p>
    <w:p w:rsidR="003A17A7" w:rsidRDefault="003A17A7">
      <w:pPr>
        <w:ind w:left="720" w:hanging="360"/>
        <w:jc w:val="both"/>
        <w:rPr>
          <w:rFonts w:ascii="Calibri" w:hAnsi="Calibri" w:cs="Calibri"/>
          <w:b/>
          <w:bCs/>
          <w:sz w:val="22"/>
          <w:szCs w:val="22"/>
          <w:u w:val="single"/>
        </w:rPr>
      </w:pPr>
    </w:p>
    <w:p w:rsidR="003A17A7" w:rsidRPr="00C5799F" w:rsidRDefault="003A17A7" w:rsidP="00C5799F">
      <w:pPr>
        <w:ind w:left="360"/>
        <w:rPr>
          <w:rFonts w:asciiTheme="minorHAnsi" w:hAnsiTheme="minorHAnsi" w:cstheme="minorHAnsi"/>
          <w:sz w:val="22"/>
          <w:szCs w:val="22"/>
        </w:rPr>
      </w:pPr>
      <w:r w:rsidRPr="00C5799F">
        <w:rPr>
          <w:rFonts w:asciiTheme="minorHAnsi" w:hAnsiTheme="minorHAnsi" w:cstheme="minorHAnsi"/>
          <w:sz w:val="22"/>
          <w:szCs w:val="22"/>
        </w:rPr>
        <w:t>Beverage consumption is restricted to the designated event site and may not be consumed at other locations on the property.</w:t>
      </w:r>
    </w:p>
    <w:p w:rsidR="00C5799F" w:rsidRDefault="00C5799F" w:rsidP="00C5799F">
      <w:pPr>
        <w:ind w:left="360"/>
        <w:rPr>
          <w:rFonts w:asciiTheme="minorHAnsi" w:hAnsiTheme="minorHAnsi" w:cstheme="minorHAnsi"/>
          <w:sz w:val="22"/>
          <w:szCs w:val="22"/>
        </w:rPr>
      </w:pPr>
    </w:p>
    <w:p w:rsidR="003A17A7" w:rsidRPr="00C5799F" w:rsidRDefault="003A17A7" w:rsidP="00C5799F">
      <w:pPr>
        <w:ind w:left="360"/>
        <w:rPr>
          <w:rFonts w:asciiTheme="minorHAnsi" w:hAnsiTheme="minorHAnsi" w:cstheme="minorHAnsi"/>
          <w:sz w:val="22"/>
          <w:szCs w:val="22"/>
        </w:rPr>
      </w:pPr>
      <w:r w:rsidRPr="00C5799F">
        <w:rPr>
          <w:rFonts w:asciiTheme="minorHAnsi" w:hAnsiTheme="minorHAnsi" w:cstheme="minorHAnsi"/>
          <w:sz w:val="22"/>
          <w:szCs w:val="22"/>
        </w:rPr>
        <w:t>The caterer is responsible for monitoring the use of alcohol and ensuring that all applicable laws are adhered to, including the serving of alcoholic beverages only to persons 21 years of age or older.</w:t>
      </w:r>
    </w:p>
    <w:p w:rsidR="003A17A7" w:rsidRPr="00C5799F" w:rsidRDefault="003A17A7" w:rsidP="00C5799F">
      <w:pPr>
        <w:ind w:left="360"/>
        <w:rPr>
          <w:rFonts w:asciiTheme="minorHAnsi" w:hAnsiTheme="minorHAnsi" w:cstheme="minorHAnsi"/>
          <w:sz w:val="22"/>
          <w:szCs w:val="22"/>
        </w:rPr>
      </w:pPr>
      <w:r w:rsidRPr="00C5799F">
        <w:rPr>
          <w:rFonts w:asciiTheme="minorHAnsi" w:hAnsiTheme="minorHAnsi" w:cstheme="minorHAnsi"/>
          <w:sz w:val="22"/>
          <w:szCs w:val="22"/>
        </w:rPr>
        <w:t>Hunter reserves the right to monitor alcohol use at any time and/or terminate service to any individual or group.</w:t>
      </w:r>
    </w:p>
    <w:p w:rsidR="003A17A7" w:rsidRDefault="003A17A7">
      <w:pPr>
        <w:overflowPunct/>
        <w:rPr>
          <w:rFonts w:cstheme="minorBidi"/>
          <w:color w:val="auto"/>
          <w:kern w:val="0"/>
          <w:sz w:val="24"/>
          <w:szCs w:val="24"/>
        </w:rPr>
      </w:pPr>
    </w:p>
    <w:p w:rsidR="006539A8" w:rsidRDefault="006539A8">
      <w:pPr>
        <w:overflowPunct/>
        <w:rPr>
          <w:rFonts w:cstheme="minorBidi"/>
          <w:color w:val="auto"/>
          <w:kern w:val="0"/>
          <w:sz w:val="24"/>
          <w:szCs w:val="24"/>
        </w:rPr>
        <w:sectPr w:rsidR="006539A8">
          <w:type w:val="continuous"/>
          <w:pgSz w:w="12240" w:h="15840"/>
          <w:pgMar w:top="1440" w:right="1440" w:bottom="1440" w:left="1440" w:header="720" w:footer="720" w:gutter="0"/>
          <w:cols w:space="720"/>
          <w:noEndnote/>
        </w:sectPr>
      </w:pPr>
    </w:p>
    <w:p w:rsidR="003A17A7" w:rsidRDefault="003A17A7">
      <w:pPr>
        <w:spacing w:line="275" w:lineRule="auto"/>
        <w:ind w:left="360"/>
        <w:jc w:val="center"/>
        <w:rPr>
          <w:rFonts w:ascii="Calibri" w:hAnsi="Calibri" w:cs="Calibri"/>
          <w:b/>
          <w:bCs/>
          <w:color w:val="auto"/>
          <w:sz w:val="28"/>
          <w:szCs w:val="28"/>
        </w:rPr>
      </w:pPr>
      <w:r>
        <w:rPr>
          <w:rFonts w:ascii="Calibri" w:hAnsi="Calibri" w:cs="Calibri"/>
          <w:b/>
          <w:bCs/>
          <w:color w:val="auto"/>
          <w:sz w:val="28"/>
          <w:szCs w:val="28"/>
        </w:rPr>
        <w:t>PROMOTIONAL TOOLS</w:t>
      </w:r>
    </w:p>
    <w:p w:rsidR="003A17A7" w:rsidRDefault="003A17A7">
      <w:pPr>
        <w:spacing w:line="275" w:lineRule="auto"/>
        <w:ind w:left="360"/>
        <w:jc w:val="center"/>
        <w:rPr>
          <w:rFonts w:ascii="Calibri" w:hAnsi="Calibri" w:cs="Calibri"/>
          <w:color w:val="auto"/>
          <w:sz w:val="22"/>
          <w:szCs w:val="22"/>
        </w:rPr>
      </w:pPr>
    </w:p>
    <w:p w:rsidR="003A17A7" w:rsidRDefault="003A17A7">
      <w:pPr>
        <w:spacing w:line="275" w:lineRule="auto"/>
        <w:ind w:left="360"/>
        <w:jc w:val="both"/>
        <w:rPr>
          <w:rFonts w:ascii="Calibri" w:hAnsi="Calibri" w:cs="Calibri"/>
          <w:color w:val="auto"/>
          <w:sz w:val="22"/>
          <w:szCs w:val="22"/>
        </w:rPr>
      </w:pPr>
      <w:r>
        <w:rPr>
          <w:rFonts w:ascii="Calibri" w:hAnsi="Calibri" w:cs="Calibri"/>
          <w:color w:val="auto"/>
          <w:sz w:val="22"/>
          <w:szCs w:val="22"/>
        </w:rPr>
        <w:t>The Kaye Playhouse at Hunter College offers a unique marketing service via our “promotional tools list,” a compilation of media contacts that may be able to offer free promotional advertisements for Kaye Playhouse performances.  Once you have signed a contract and made your first payment for your upcoming production at the Kaye Playhouse, we offer gratis promotional support to further publicize performances. The media outlets are contacted by Kaye staff on behalf of the client, requiring no action on the production end, a dually distinctive offering in the theater rental business.  Although Kaye staff can request and encourage the media contacts to support our clients, there is no guarantee that such advertisement will be published as it is at their discretion.</w:t>
      </w:r>
    </w:p>
    <w:p w:rsidR="003A17A7" w:rsidRDefault="003A17A7" w:rsidP="006539A8">
      <w:pPr>
        <w:spacing w:line="275" w:lineRule="auto"/>
        <w:rPr>
          <w:rFonts w:ascii="Calibri" w:hAnsi="Calibri" w:cs="Calibri"/>
          <w:color w:val="auto"/>
          <w:sz w:val="22"/>
          <w:szCs w:val="22"/>
          <w:u w:val="single"/>
        </w:rPr>
      </w:pPr>
    </w:p>
    <w:p w:rsidR="003A17A7" w:rsidRDefault="003A17A7">
      <w:pPr>
        <w:spacing w:line="275" w:lineRule="auto"/>
        <w:ind w:left="360"/>
        <w:rPr>
          <w:rFonts w:ascii="Calibri" w:hAnsi="Calibri" w:cs="Calibri"/>
          <w:b/>
          <w:bCs/>
          <w:sz w:val="22"/>
          <w:szCs w:val="22"/>
          <w:u w:val="single"/>
        </w:rPr>
      </w:pPr>
      <w:r>
        <w:rPr>
          <w:rFonts w:ascii="Calibri" w:hAnsi="Calibri" w:cs="Calibri"/>
          <w:b/>
          <w:bCs/>
          <w:sz w:val="22"/>
          <w:szCs w:val="22"/>
          <w:u w:val="single"/>
        </w:rPr>
        <w:t>Internal promotional tools, subject to all necessary approvals, include</w:t>
      </w:r>
      <w:r>
        <w:rPr>
          <w:rFonts w:ascii="Calibri" w:hAnsi="Calibri" w:cs="Calibri"/>
          <w:b/>
          <w:bCs/>
          <w:sz w:val="22"/>
          <w:szCs w:val="22"/>
        </w:rPr>
        <w:t>:</w:t>
      </w:r>
    </w:p>
    <w:p w:rsidR="00C5799F" w:rsidRDefault="00C5799F" w:rsidP="00C5799F">
      <w:pPr>
        <w:pStyle w:val="NoSpacing"/>
        <w:ind w:left="360"/>
        <w:rPr>
          <w:rFonts w:asciiTheme="minorHAnsi" w:hAnsiTheme="minorHAnsi" w:cstheme="minorHAnsi"/>
          <w:sz w:val="22"/>
          <w:szCs w:val="22"/>
          <w:u w:val="single"/>
        </w:rPr>
      </w:pPr>
    </w:p>
    <w:p w:rsidR="00451713" w:rsidRPr="00C5799F" w:rsidRDefault="00451713" w:rsidP="00C5799F">
      <w:pPr>
        <w:pStyle w:val="NoSpacing"/>
        <w:ind w:left="360"/>
        <w:rPr>
          <w:rFonts w:asciiTheme="minorHAnsi" w:hAnsiTheme="minorHAnsi" w:cstheme="minorHAnsi"/>
          <w:sz w:val="22"/>
          <w:szCs w:val="22"/>
        </w:rPr>
      </w:pPr>
      <w:r w:rsidRPr="00C5799F">
        <w:rPr>
          <w:rFonts w:asciiTheme="minorHAnsi" w:hAnsiTheme="minorHAnsi" w:cstheme="minorHAnsi"/>
          <w:sz w:val="22"/>
          <w:szCs w:val="22"/>
          <w:u w:val="single"/>
        </w:rPr>
        <w:t>Kaye Playhouse Web Site</w:t>
      </w:r>
      <w:r w:rsidRPr="00C5799F">
        <w:rPr>
          <w:rFonts w:asciiTheme="minorHAnsi" w:hAnsiTheme="minorHAnsi" w:cstheme="minorHAnsi"/>
          <w:sz w:val="22"/>
          <w:szCs w:val="22"/>
        </w:rPr>
        <w:t xml:space="preserve"> - Events listed at Kaye Playhouse website includes: event description, </w:t>
      </w:r>
      <w:r w:rsidRPr="00C5799F">
        <w:rPr>
          <w:rFonts w:asciiTheme="minorHAnsi" w:hAnsiTheme="minorHAnsi" w:cstheme="minorHAnsi"/>
          <w:sz w:val="22"/>
          <w:szCs w:val="22"/>
        </w:rPr>
        <w:lastRenderedPageBreak/>
        <w:t xml:space="preserve">phone number, admission price and, if applicable, link to on-line sales. </w:t>
      </w:r>
    </w:p>
    <w:p w:rsidR="00A234AF" w:rsidRPr="00C5799F" w:rsidRDefault="00A234AF" w:rsidP="00C5799F">
      <w:pPr>
        <w:pStyle w:val="NoSpacing"/>
        <w:ind w:left="360"/>
        <w:rPr>
          <w:rFonts w:asciiTheme="minorHAnsi" w:hAnsiTheme="minorHAnsi" w:cstheme="minorHAnsi"/>
          <w:sz w:val="22"/>
          <w:szCs w:val="22"/>
        </w:rPr>
      </w:pPr>
      <w:r w:rsidRPr="00C5799F">
        <w:rPr>
          <w:rFonts w:asciiTheme="minorHAnsi" w:hAnsiTheme="minorHAnsi" w:cstheme="minorHAnsi"/>
          <w:sz w:val="22"/>
          <w:szCs w:val="22"/>
          <w:u w:val="single"/>
        </w:rPr>
        <w:t>Kaye Playhouse E-Mail Calendar of Events</w:t>
      </w:r>
      <w:r w:rsidRPr="00C5799F">
        <w:rPr>
          <w:rFonts w:asciiTheme="minorHAnsi" w:hAnsiTheme="minorHAnsi" w:cstheme="minorHAnsi"/>
          <w:sz w:val="22"/>
          <w:szCs w:val="22"/>
        </w:rPr>
        <w:t xml:space="preserve"> - Events emailed to over </w:t>
      </w:r>
      <w:r w:rsidR="004D61DC">
        <w:rPr>
          <w:rFonts w:asciiTheme="minorHAnsi" w:hAnsiTheme="minorHAnsi" w:cstheme="minorHAnsi"/>
          <w:sz w:val="22"/>
          <w:szCs w:val="22"/>
        </w:rPr>
        <w:t>20</w:t>
      </w:r>
      <w:r w:rsidR="006539A8" w:rsidRPr="00C5799F">
        <w:rPr>
          <w:rFonts w:asciiTheme="minorHAnsi" w:hAnsiTheme="minorHAnsi" w:cstheme="minorHAnsi"/>
          <w:sz w:val="22"/>
          <w:szCs w:val="22"/>
        </w:rPr>
        <w:t>,</w:t>
      </w:r>
      <w:r w:rsidR="004D61DC">
        <w:rPr>
          <w:rFonts w:asciiTheme="minorHAnsi" w:hAnsiTheme="minorHAnsi" w:cstheme="minorHAnsi"/>
          <w:sz w:val="22"/>
          <w:szCs w:val="22"/>
        </w:rPr>
        <w:t>0</w:t>
      </w:r>
      <w:r w:rsidR="006539A8" w:rsidRPr="00C5799F">
        <w:rPr>
          <w:rFonts w:asciiTheme="minorHAnsi" w:hAnsiTheme="minorHAnsi" w:cstheme="minorHAnsi"/>
          <w:sz w:val="22"/>
          <w:szCs w:val="22"/>
        </w:rPr>
        <w:t>00</w:t>
      </w:r>
      <w:r w:rsidRPr="00C5799F">
        <w:rPr>
          <w:rFonts w:asciiTheme="minorHAnsi" w:hAnsiTheme="minorHAnsi" w:cstheme="minorHAnsi"/>
          <w:sz w:val="22"/>
          <w:szCs w:val="22"/>
        </w:rPr>
        <w:t xml:space="preserve"> subscribers. </w:t>
      </w:r>
    </w:p>
    <w:p w:rsidR="00C5799F" w:rsidRDefault="00C5799F" w:rsidP="00C5799F">
      <w:pPr>
        <w:pStyle w:val="NoSpacing"/>
        <w:ind w:left="360"/>
        <w:rPr>
          <w:rFonts w:asciiTheme="minorHAnsi" w:hAnsiTheme="minorHAnsi" w:cstheme="minorHAnsi"/>
          <w:sz w:val="22"/>
          <w:szCs w:val="22"/>
          <w:u w:val="single"/>
        </w:rPr>
      </w:pPr>
    </w:p>
    <w:p w:rsidR="006539A8" w:rsidRPr="00C5799F" w:rsidRDefault="006539A8" w:rsidP="00C5799F">
      <w:pPr>
        <w:pStyle w:val="NoSpacing"/>
        <w:ind w:left="360"/>
        <w:rPr>
          <w:rFonts w:asciiTheme="minorHAnsi" w:hAnsiTheme="minorHAnsi" w:cstheme="minorHAnsi"/>
          <w:sz w:val="22"/>
          <w:szCs w:val="22"/>
        </w:rPr>
      </w:pPr>
      <w:r w:rsidRPr="00C5799F">
        <w:rPr>
          <w:rFonts w:asciiTheme="minorHAnsi" w:hAnsiTheme="minorHAnsi" w:cstheme="minorHAnsi"/>
          <w:sz w:val="22"/>
          <w:szCs w:val="22"/>
          <w:u w:val="single"/>
        </w:rPr>
        <w:t>Kaye Playhouse Lobby Advertisement</w:t>
      </w:r>
      <w:r w:rsidRPr="00C5799F">
        <w:rPr>
          <w:rFonts w:asciiTheme="minorHAnsi" w:hAnsiTheme="minorHAnsi" w:cstheme="minorHAnsi"/>
          <w:sz w:val="22"/>
          <w:szCs w:val="22"/>
        </w:rPr>
        <w:t xml:space="preserve"> – Events posted on lobby PowerPoint projector.  Also available for day of performance promotional use (i.e. sponsorship ads or donor recognition)</w:t>
      </w:r>
    </w:p>
    <w:p w:rsidR="00C5799F" w:rsidRDefault="00C5799F" w:rsidP="00C5799F">
      <w:pPr>
        <w:pStyle w:val="NoSpacing"/>
        <w:ind w:left="360"/>
        <w:rPr>
          <w:rFonts w:asciiTheme="minorHAnsi" w:hAnsiTheme="minorHAnsi" w:cstheme="minorHAnsi"/>
          <w:sz w:val="22"/>
          <w:szCs w:val="22"/>
          <w:u w:val="single"/>
        </w:rPr>
      </w:pPr>
    </w:p>
    <w:p w:rsidR="003A17A7" w:rsidRPr="00C5799F" w:rsidRDefault="003A17A7" w:rsidP="00C5799F">
      <w:pPr>
        <w:pStyle w:val="NoSpacing"/>
        <w:ind w:left="360"/>
        <w:rPr>
          <w:rFonts w:asciiTheme="minorHAnsi" w:hAnsiTheme="minorHAnsi" w:cstheme="minorHAnsi"/>
          <w:sz w:val="22"/>
          <w:szCs w:val="22"/>
        </w:rPr>
      </w:pPr>
      <w:r w:rsidRPr="00C5799F">
        <w:rPr>
          <w:rFonts w:asciiTheme="minorHAnsi" w:hAnsiTheme="minorHAnsi" w:cstheme="minorHAnsi"/>
          <w:sz w:val="22"/>
          <w:szCs w:val="22"/>
          <w:u w:val="single"/>
        </w:rPr>
        <w:t>Hunter Web Site</w:t>
      </w:r>
      <w:r w:rsidRPr="00C5799F">
        <w:rPr>
          <w:rFonts w:asciiTheme="minorHAnsi" w:hAnsiTheme="minorHAnsi" w:cstheme="minorHAnsi"/>
          <w:sz w:val="22"/>
          <w:szCs w:val="22"/>
        </w:rPr>
        <w:t xml:space="preserve"> - Events listed at Hunter homepage include: event description, venue website, </w:t>
      </w:r>
      <w:proofErr w:type="gramStart"/>
      <w:r w:rsidRPr="00C5799F">
        <w:rPr>
          <w:rFonts w:asciiTheme="minorHAnsi" w:hAnsiTheme="minorHAnsi" w:cstheme="minorHAnsi"/>
          <w:sz w:val="22"/>
          <w:szCs w:val="22"/>
        </w:rPr>
        <w:t>phone</w:t>
      </w:r>
      <w:proofErr w:type="gramEnd"/>
      <w:r w:rsidRPr="00C5799F">
        <w:rPr>
          <w:rFonts w:asciiTheme="minorHAnsi" w:hAnsiTheme="minorHAnsi" w:cstheme="minorHAnsi"/>
          <w:sz w:val="22"/>
          <w:szCs w:val="22"/>
        </w:rPr>
        <w:t xml:space="preserve"> number and admission price. </w:t>
      </w:r>
    </w:p>
    <w:p w:rsidR="00C5799F" w:rsidRDefault="00C5799F" w:rsidP="00C5799F">
      <w:pPr>
        <w:pStyle w:val="NoSpacing"/>
        <w:ind w:left="360"/>
        <w:rPr>
          <w:rFonts w:asciiTheme="minorHAnsi" w:hAnsiTheme="minorHAnsi" w:cstheme="minorHAnsi"/>
          <w:sz w:val="22"/>
          <w:szCs w:val="22"/>
          <w:u w:val="single"/>
        </w:rPr>
      </w:pPr>
    </w:p>
    <w:p w:rsidR="003A17A7" w:rsidRPr="00C5799F" w:rsidRDefault="003A17A7" w:rsidP="00C5799F">
      <w:pPr>
        <w:pStyle w:val="NoSpacing"/>
        <w:ind w:left="360"/>
        <w:rPr>
          <w:rFonts w:asciiTheme="minorHAnsi" w:hAnsiTheme="minorHAnsi" w:cstheme="minorHAnsi"/>
          <w:sz w:val="22"/>
          <w:szCs w:val="22"/>
        </w:rPr>
      </w:pPr>
      <w:r w:rsidRPr="00C5799F">
        <w:rPr>
          <w:rFonts w:asciiTheme="minorHAnsi" w:hAnsiTheme="minorHAnsi" w:cstheme="minorHAnsi"/>
          <w:sz w:val="22"/>
          <w:szCs w:val="22"/>
          <w:u w:val="single"/>
        </w:rPr>
        <w:t>Hunter Gatherer</w:t>
      </w:r>
      <w:r w:rsidRPr="00C5799F">
        <w:rPr>
          <w:rFonts w:asciiTheme="minorHAnsi" w:hAnsiTheme="minorHAnsi" w:cstheme="minorHAnsi"/>
          <w:sz w:val="22"/>
          <w:szCs w:val="22"/>
        </w:rPr>
        <w:t xml:space="preserve"> - Events listed both in Hunter Gatherer newspaper and on website.</w:t>
      </w:r>
    </w:p>
    <w:p w:rsidR="00C5799F" w:rsidRDefault="00C5799F" w:rsidP="00C5799F">
      <w:pPr>
        <w:pStyle w:val="NoSpacing"/>
        <w:ind w:left="360"/>
        <w:rPr>
          <w:rFonts w:asciiTheme="minorHAnsi" w:hAnsiTheme="minorHAnsi" w:cstheme="minorHAnsi"/>
          <w:sz w:val="22"/>
          <w:szCs w:val="22"/>
          <w:u w:val="single"/>
        </w:rPr>
      </w:pPr>
    </w:p>
    <w:p w:rsidR="003A17A7" w:rsidRPr="00C5799F" w:rsidRDefault="003A17A7" w:rsidP="00C5799F">
      <w:pPr>
        <w:pStyle w:val="NoSpacing"/>
        <w:ind w:left="360"/>
        <w:rPr>
          <w:rFonts w:asciiTheme="minorHAnsi" w:hAnsiTheme="minorHAnsi" w:cstheme="minorHAnsi"/>
          <w:sz w:val="22"/>
          <w:szCs w:val="22"/>
        </w:rPr>
      </w:pPr>
      <w:r w:rsidRPr="00C5799F">
        <w:rPr>
          <w:rFonts w:asciiTheme="minorHAnsi" w:hAnsiTheme="minorHAnsi" w:cstheme="minorHAnsi"/>
          <w:sz w:val="22"/>
          <w:szCs w:val="22"/>
          <w:u w:val="single"/>
        </w:rPr>
        <w:t>Student Government</w:t>
      </w:r>
      <w:r w:rsidRPr="00C5799F">
        <w:rPr>
          <w:rFonts w:asciiTheme="minorHAnsi" w:hAnsiTheme="minorHAnsi" w:cstheme="minorHAnsi"/>
          <w:sz w:val="22"/>
          <w:szCs w:val="22"/>
        </w:rPr>
        <w:t xml:space="preserve"> - Event information sent to student government for distribution to student body.</w:t>
      </w:r>
    </w:p>
    <w:p w:rsidR="00C5799F" w:rsidRDefault="00C5799F" w:rsidP="00C5799F">
      <w:pPr>
        <w:pStyle w:val="NoSpacing"/>
        <w:ind w:left="360"/>
        <w:rPr>
          <w:rFonts w:asciiTheme="minorHAnsi" w:hAnsiTheme="minorHAnsi" w:cstheme="minorHAnsi"/>
          <w:sz w:val="22"/>
          <w:szCs w:val="22"/>
          <w:u w:val="single"/>
        </w:rPr>
      </w:pPr>
    </w:p>
    <w:p w:rsidR="00A234AF" w:rsidRPr="00C5799F" w:rsidRDefault="00A234AF" w:rsidP="00C5799F">
      <w:pPr>
        <w:pStyle w:val="NoSpacing"/>
        <w:ind w:left="360"/>
        <w:rPr>
          <w:rFonts w:asciiTheme="minorHAnsi" w:hAnsiTheme="minorHAnsi" w:cstheme="minorHAnsi"/>
          <w:sz w:val="22"/>
          <w:szCs w:val="22"/>
        </w:rPr>
      </w:pPr>
      <w:r w:rsidRPr="00C5799F">
        <w:rPr>
          <w:rFonts w:asciiTheme="minorHAnsi" w:hAnsiTheme="minorHAnsi" w:cstheme="minorHAnsi"/>
          <w:sz w:val="22"/>
          <w:szCs w:val="22"/>
          <w:u w:val="single"/>
        </w:rPr>
        <w:t xml:space="preserve">Hunter College Office of the Arts </w:t>
      </w:r>
      <w:r w:rsidRPr="00C5799F">
        <w:rPr>
          <w:rFonts w:asciiTheme="minorHAnsi" w:hAnsiTheme="minorHAnsi" w:cstheme="minorHAnsi"/>
          <w:sz w:val="22"/>
          <w:szCs w:val="22"/>
        </w:rPr>
        <w:t>- Event information sent to Office of the Arts for email distribution to subscriber based students.</w:t>
      </w:r>
    </w:p>
    <w:p w:rsidR="00C5799F" w:rsidRDefault="00C5799F" w:rsidP="00C5799F">
      <w:pPr>
        <w:pStyle w:val="NoSpacing"/>
        <w:ind w:left="360"/>
        <w:rPr>
          <w:rFonts w:asciiTheme="minorHAnsi" w:hAnsiTheme="minorHAnsi" w:cstheme="minorHAnsi"/>
          <w:sz w:val="22"/>
          <w:szCs w:val="22"/>
          <w:u w:val="single"/>
        </w:rPr>
      </w:pPr>
    </w:p>
    <w:p w:rsidR="003A17A7" w:rsidRPr="00C5799F" w:rsidRDefault="00866447" w:rsidP="00C5799F">
      <w:pPr>
        <w:pStyle w:val="NoSpacing"/>
        <w:ind w:left="360"/>
        <w:rPr>
          <w:rFonts w:asciiTheme="minorHAnsi" w:hAnsiTheme="minorHAnsi" w:cstheme="minorHAnsi"/>
          <w:sz w:val="22"/>
          <w:szCs w:val="22"/>
          <w:u w:val="single"/>
        </w:rPr>
      </w:pPr>
      <w:r w:rsidRPr="00C5799F">
        <w:rPr>
          <w:rFonts w:asciiTheme="minorHAnsi" w:hAnsiTheme="minorHAnsi" w:cstheme="minorHAnsi"/>
          <w:sz w:val="22"/>
          <w:szCs w:val="22"/>
          <w:u w:val="single"/>
        </w:rPr>
        <w:t>Hunter R</w:t>
      </w:r>
      <w:r w:rsidR="00A57FF7" w:rsidRPr="00C5799F">
        <w:rPr>
          <w:rFonts w:asciiTheme="minorHAnsi" w:hAnsiTheme="minorHAnsi" w:cstheme="minorHAnsi"/>
          <w:sz w:val="22"/>
          <w:szCs w:val="22"/>
          <w:u w:val="single"/>
        </w:rPr>
        <w:t>adio</w:t>
      </w:r>
      <w:r w:rsidR="003A17A7" w:rsidRPr="00C5799F">
        <w:rPr>
          <w:rFonts w:asciiTheme="minorHAnsi" w:hAnsiTheme="minorHAnsi" w:cstheme="minorHAnsi"/>
          <w:sz w:val="22"/>
          <w:szCs w:val="22"/>
          <w:u w:val="single"/>
        </w:rPr>
        <w:t xml:space="preserve"> </w:t>
      </w:r>
      <w:r w:rsidR="003A17A7" w:rsidRPr="00C5799F">
        <w:rPr>
          <w:rFonts w:asciiTheme="minorHAnsi" w:hAnsiTheme="minorHAnsi" w:cstheme="minorHAnsi"/>
          <w:sz w:val="22"/>
          <w:szCs w:val="22"/>
        </w:rPr>
        <w:t>- Event information sent to the Hunter Radio for broadcast</w:t>
      </w:r>
    </w:p>
    <w:p w:rsidR="00C5799F" w:rsidRDefault="00C5799F" w:rsidP="00C5799F">
      <w:pPr>
        <w:pStyle w:val="NoSpacing"/>
        <w:ind w:left="360"/>
        <w:rPr>
          <w:rFonts w:asciiTheme="minorHAnsi" w:hAnsiTheme="minorHAnsi" w:cstheme="minorHAnsi"/>
          <w:sz w:val="22"/>
          <w:szCs w:val="22"/>
          <w:u w:val="single"/>
        </w:rPr>
      </w:pPr>
    </w:p>
    <w:p w:rsidR="003A17A7" w:rsidRPr="00C5799F" w:rsidRDefault="003A17A7" w:rsidP="00C5799F">
      <w:pPr>
        <w:pStyle w:val="NoSpacing"/>
        <w:ind w:left="360"/>
        <w:rPr>
          <w:rFonts w:asciiTheme="minorHAnsi" w:hAnsiTheme="minorHAnsi" w:cstheme="minorHAnsi"/>
          <w:sz w:val="22"/>
          <w:szCs w:val="22"/>
        </w:rPr>
      </w:pPr>
      <w:r w:rsidRPr="00C5799F">
        <w:rPr>
          <w:rFonts w:asciiTheme="minorHAnsi" w:hAnsiTheme="minorHAnsi" w:cstheme="minorHAnsi"/>
          <w:sz w:val="22"/>
          <w:szCs w:val="22"/>
          <w:u w:val="single"/>
        </w:rPr>
        <w:t>Continuing Education Program</w:t>
      </w:r>
      <w:r w:rsidRPr="00C5799F">
        <w:rPr>
          <w:rFonts w:asciiTheme="minorHAnsi" w:hAnsiTheme="minorHAnsi" w:cstheme="minorHAnsi"/>
          <w:sz w:val="22"/>
          <w:szCs w:val="22"/>
        </w:rPr>
        <w:t>- Event Information sent to students in continuing education program via email distribution list.</w:t>
      </w:r>
    </w:p>
    <w:p w:rsidR="00C5799F" w:rsidRDefault="00C5799F" w:rsidP="00C5799F">
      <w:pPr>
        <w:pStyle w:val="NoSpacing"/>
        <w:ind w:left="360"/>
        <w:rPr>
          <w:rFonts w:asciiTheme="minorHAnsi" w:hAnsiTheme="minorHAnsi" w:cstheme="minorHAnsi"/>
          <w:sz w:val="22"/>
          <w:szCs w:val="22"/>
          <w:u w:val="single"/>
        </w:rPr>
      </w:pPr>
    </w:p>
    <w:p w:rsidR="003A17A7" w:rsidRPr="00C5799F" w:rsidRDefault="003A17A7" w:rsidP="00C5799F">
      <w:pPr>
        <w:pStyle w:val="NoSpacing"/>
        <w:ind w:left="360"/>
        <w:rPr>
          <w:rFonts w:asciiTheme="minorHAnsi" w:hAnsiTheme="minorHAnsi" w:cstheme="minorHAnsi"/>
          <w:sz w:val="22"/>
          <w:szCs w:val="22"/>
        </w:rPr>
      </w:pPr>
      <w:r w:rsidRPr="00C5799F">
        <w:rPr>
          <w:rFonts w:asciiTheme="minorHAnsi" w:hAnsiTheme="minorHAnsi" w:cstheme="minorHAnsi"/>
          <w:sz w:val="22"/>
          <w:szCs w:val="22"/>
          <w:u w:val="single"/>
        </w:rPr>
        <w:t>Flyers</w:t>
      </w:r>
      <w:r w:rsidRPr="00C5799F">
        <w:rPr>
          <w:rFonts w:asciiTheme="minorHAnsi" w:hAnsiTheme="minorHAnsi" w:cstheme="minorHAnsi"/>
          <w:sz w:val="22"/>
          <w:szCs w:val="22"/>
        </w:rPr>
        <w:t xml:space="preserve"> - Located at the student government table, in Kaye poster boxes, in Performing Arts department poster boxes (subject to availability), and</w:t>
      </w:r>
      <w:r w:rsidRPr="00C5799F">
        <w:rPr>
          <w:rFonts w:asciiTheme="minorHAnsi" w:hAnsiTheme="minorHAnsi" w:cstheme="minorHAnsi"/>
          <w:b/>
          <w:bCs/>
          <w:sz w:val="22"/>
          <w:szCs w:val="22"/>
        </w:rPr>
        <w:t xml:space="preserve"> </w:t>
      </w:r>
      <w:r w:rsidRPr="00C5799F">
        <w:rPr>
          <w:rFonts w:asciiTheme="minorHAnsi" w:hAnsiTheme="minorHAnsi" w:cstheme="minorHAnsi"/>
          <w:sz w:val="22"/>
          <w:szCs w:val="22"/>
        </w:rPr>
        <w:t xml:space="preserve">post cards strategically placed around campus. </w:t>
      </w:r>
    </w:p>
    <w:p w:rsidR="00C5799F" w:rsidRDefault="00C5799F" w:rsidP="00C5799F">
      <w:pPr>
        <w:pStyle w:val="NoSpacing"/>
        <w:ind w:left="360"/>
        <w:rPr>
          <w:rFonts w:asciiTheme="minorHAnsi" w:hAnsiTheme="minorHAnsi" w:cstheme="minorHAnsi"/>
          <w:sz w:val="22"/>
          <w:szCs w:val="22"/>
          <w:u w:val="single"/>
        </w:rPr>
      </w:pPr>
    </w:p>
    <w:p w:rsidR="003A17A7" w:rsidRPr="00C5799F" w:rsidRDefault="003A17A7" w:rsidP="00C5799F">
      <w:pPr>
        <w:pStyle w:val="NoSpacing"/>
        <w:ind w:left="360"/>
        <w:rPr>
          <w:rFonts w:asciiTheme="minorHAnsi" w:hAnsiTheme="minorHAnsi" w:cstheme="minorHAnsi"/>
          <w:sz w:val="22"/>
          <w:szCs w:val="22"/>
          <w:u w:val="single"/>
        </w:rPr>
      </w:pPr>
      <w:r w:rsidRPr="00C5799F">
        <w:rPr>
          <w:rFonts w:asciiTheme="minorHAnsi" w:hAnsiTheme="minorHAnsi" w:cstheme="minorHAnsi"/>
          <w:sz w:val="22"/>
          <w:szCs w:val="22"/>
          <w:u w:val="single"/>
        </w:rPr>
        <w:t>Pre-Sale</w:t>
      </w:r>
      <w:r w:rsidRPr="00C5799F">
        <w:rPr>
          <w:rFonts w:asciiTheme="minorHAnsi" w:hAnsiTheme="minorHAnsi" w:cstheme="minorHAnsi"/>
          <w:sz w:val="22"/>
          <w:szCs w:val="22"/>
        </w:rPr>
        <w:t xml:space="preserve"> - Ability to offer a pre-sale available only to Hunter students, staff, and faculty (subject to scheduling).</w:t>
      </w:r>
    </w:p>
    <w:p w:rsidR="003A17A7" w:rsidRDefault="003A17A7" w:rsidP="00C5799F">
      <w:pPr>
        <w:ind w:left="360"/>
        <w:rPr>
          <w:rFonts w:ascii="Calibri" w:hAnsi="Calibri" w:cs="Calibri"/>
          <w:sz w:val="22"/>
          <w:szCs w:val="22"/>
        </w:rPr>
      </w:pPr>
    </w:p>
    <w:sectPr w:rsidR="003A17A7" w:rsidSect="003A17A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A7"/>
    <w:rsid w:val="000079CA"/>
    <w:rsid w:val="00034BA8"/>
    <w:rsid w:val="00056234"/>
    <w:rsid w:val="00164D56"/>
    <w:rsid w:val="001D0EA4"/>
    <w:rsid w:val="001D5E91"/>
    <w:rsid w:val="001E2A16"/>
    <w:rsid w:val="002665B3"/>
    <w:rsid w:val="002801E5"/>
    <w:rsid w:val="002B27ED"/>
    <w:rsid w:val="002B4891"/>
    <w:rsid w:val="002B4EB7"/>
    <w:rsid w:val="002F13AD"/>
    <w:rsid w:val="00344A39"/>
    <w:rsid w:val="003A17A7"/>
    <w:rsid w:val="003D7D48"/>
    <w:rsid w:val="004426A5"/>
    <w:rsid w:val="00451713"/>
    <w:rsid w:val="004D61DC"/>
    <w:rsid w:val="00560D0C"/>
    <w:rsid w:val="005D0C8D"/>
    <w:rsid w:val="005F50E7"/>
    <w:rsid w:val="006539A8"/>
    <w:rsid w:val="007F13C5"/>
    <w:rsid w:val="00866447"/>
    <w:rsid w:val="0087361F"/>
    <w:rsid w:val="008F42EB"/>
    <w:rsid w:val="00927CA5"/>
    <w:rsid w:val="009B5592"/>
    <w:rsid w:val="00A234AF"/>
    <w:rsid w:val="00A5314B"/>
    <w:rsid w:val="00A57FF7"/>
    <w:rsid w:val="00AA7FBE"/>
    <w:rsid w:val="00AB5E1B"/>
    <w:rsid w:val="00B46C90"/>
    <w:rsid w:val="00B709A8"/>
    <w:rsid w:val="00BA541A"/>
    <w:rsid w:val="00C5799F"/>
    <w:rsid w:val="00DC3439"/>
    <w:rsid w:val="00DE1A4A"/>
    <w:rsid w:val="00F5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D9B27"/>
  <w15:docId w15:val="{FFA1B0DE-6252-4928-8185-9641787F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B7"/>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4EB7"/>
    <w:pPr>
      <w:widowControl w:val="0"/>
      <w:overflowPunct w:val="0"/>
      <w:autoSpaceDE w:val="0"/>
      <w:autoSpaceDN w:val="0"/>
      <w:adjustRightInd w:val="0"/>
      <w:spacing w:line="275" w:lineRule="auto"/>
    </w:pPr>
    <w:rPr>
      <w:rFonts w:ascii="Calibri" w:hAnsi="Calibri" w:cs="Calibri"/>
      <w:color w:val="000000"/>
      <w:kern w:val="28"/>
      <w:sz w:val="24"/>
      <w:szCs w:val="24"/>
    </w:rPr>
  </w:style>
  <w:style w:type="paragraph" w:styleId="BalloonText">
    <w:name w:val="Balloon Text"/>
    <w:basedOn w:val="Normal"/>
    <w:link w:val="BalloonTextChar"/>
    <w:uiPriority w:val="99"/>
    <w:semiHidden/>
    <w:unhideWhenUsed/>
    <w:rsid w:val="00A57FF7"/>
    <w:rPr>
      <w:rFonts w:ascii="Tahoma" w:hAnsi="Tahoma" w:cs="Tahoma"/>
      <w:sz w:val="16"/>
      <w:szCs w:val="16"/>
    </w:rPr>
  </w:style>
  <w:style w:type="character" w:customStyle="1" w:styleId="BalloonTextChar">
    <w:name w:val="Balloon Text Char"/>
    <w:basedOn w:val="DefaultParagraphFont"/>
    <w:link w:val="BalloonText"/>
    <w:uiPriority w:val="99"/>
    <w:semiHidden/>
    <w:rsid w:val="00A57FF7"/>
    <w:rPr>
      <w:rFonts w:ascii="Tahoma" w:hAnsi="Tahoma" w:cs="Tahoma"/>
      <w:color w:val="000000"/>
      <w:kern w:val="28"/>
      <w:sz w:val="16"/>
      <w:szCs w:val="16"/>
    </w:rPr>
  </w:style>
  <w:style w:type="paragraph" w:styleId="NoSpacing">
    <w:name w:val="No Spacing"/>
    <w:uiPriority w:val="1"/>
    <w:qFormat/>
    <w:rsid w:val="00C5799F"/>
    <w:pPr>
      <w:widowControl w:val="0"/>
      <w:overflowPunct w:val="0"/>
      <w:autoSpaceDE w:val="0"/>
      <w:autoSpaceDN w:val="0"/>
      <w:adjustRightInd w:val="0"/>
    </w:pPr>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Coumbs</dc:creator>
  <cp:lastModifiedBy>Dara Falco</cp:lastModifiedBy>
  <cp:revision>2</cp:revision>
  <cp:lastPrinted>2019-09-24T14:48:00Z</cp:lastPrinted>
  <dcterms:created xsi:type="dcterms:W3CDTF">2021-09-08T20:21:00Z</dcterms:created>
  <dcterms:modified xsi:type="dcterms:W3CDTF">2021-09-08T20:21:00Z</dcterms:modified>
</cp:coreProperties>
</file>