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4006"/>
        <w:gridCol w:w="1404"/>
        <w:gridCol w:w="1400"/>
        <w:gridCol w:w="3220"/>
      </w:tblGrid>
      <w:tr w:rsidR="00427AE2" w:rsidTr="00427AE2">
        <w:trPr>
          <w:jc w:val="center"/>
        </w:trPr>
        <w:tc>
          <w:tcPr>
            <w:tcW w:w="760" w:type="dxa"/>
            <w:vMerge w:val="restart"/>
            <w:shd w:val="clear" w:color="auto" w:fill="F2F2F2" w:themeFill="background1" w:themeFillShade="F2"/>
            <w:textDirection w:val="btLr"/>
          </w:tcPr>
          <w:p w:rsidR="00427AE2" w:rsidRPr="00427AE2" w:rsidRDefault="00427AE2" w:rsidP="00267DDE">
            <w:pPr>
              <w:ind w:left="113" w:right="113"/>
              <w:rPr>
                <w:b/>
              </w:rPr>
            </w:pPr>
            <w:r>
              <w:rPr>
                <w:b/>
              </w:rPr>
              <w:t>GPA:</w:t>
            </w:r>
            <w:r w:rsidR="00221240">
              <w:rPr>
                <w:b/>
              </w:rPr>
              <w:t xml:space="preserve">   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:rsidR="00427AE2" w:rsidRPr="000844E0" w:rsidRDefault="00427AE2" w:rsidP="000844E0">
            <w:pPr>
              <w:jc w:val="center"/>
              <w:rPr>
                <w:b/>
              </w:rPr>
            </w:pPr>
            <w:r w:rsidRPr="000844E0">
              <w:rPr>
                <w:b/>
              </w:rPr>
              <w:t>Course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:rsidR="00427AE2" w:rsidRPr="000844E0" w:rsidRDefault="00427AE2" w:rsidP="000844E0">
            <w:pPr>
              <w:jc w:val="center"/>
              <w:rPr>
                <w:b/>
              </w:rPr>
            </w:pPr>
            <w:r w:rsidRPr="000844E0">
              <w:rPr>
                <w:b/>
              </w:rPr>
              <w:t>Completed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427AE2" w:rsidRPr="000844E0" w:rsidRDefault="00427AE2" w:rsidP="000844E0">
            <w:pPr>
              <w:jc w:val="center"/>
              <w:rPr>
                <w:b/>
              </w:rPr>
            </w:pPr>
            <w:r w:rsidRPr="000844E0">
              <w:rPr>
                <w:b/>
              </w:rPr>
              <w:t>Enrolled</w:t>
            </w:r>
          </w:p>
        </w:tc>
        <w:tc>
          <w:tcPr>
            <w:tcW w:w="3220" w:type="dxa"/>
            <w:shd w:val="clear" w:color="auto" w:fill="F2F2F2" w:themeFill="background1" w:themeFillShade="F2"/>
          </w:tcPr>
          <w:p w:rsidR="00427AE2" w:rsidRPr="000844E0" w:rsidRDefault="00427AE2" w:rsidP="000844E0">
            <w:pPr>
              <w:jc w:val="center"/>
              <w:rPr>
                <w:b/>
              </w:rPr>
            </w:pPr>
            <w:r w:rsidRPr="000844E0">
              <w:rPr>
                <w:b/>
              </w:rPr>
              <w:t>Pre-Requisites</w:t>
            </w:r>
            <w:r>
              <w:rPr>
                <w:b/>
              </w:rPr>
              <w:t>/Notes</w:t>
            </w:r>
          </w:p>
        </w:tc>
      </w:tr>
      <w:tr w:rsidR="00427AE2" w:rsidTr="00427AE2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427AE2" w:rsidRDefault="00427AE2"/>
        </w:tc>
        <w:tc>
          <w:tcPr>
            <w:tcW w:w="4006" w:type="dxa"/>
          </w:tcPr>
          <w:p w:rsidR="00427AE2" w:rsidRPr="00B53E2F" w:rsidRDefault="00427AE2">
            <w:pPr>
              <w:rPr>
                <w:b/>
              </w:rPr>
            </w:pPr>
            <w:r>
              <w:rPr>
                <w:b/>
              </w:rPr>
              <w:t>PSYCH</w:t>
            </w:r>
            <w:r w:rsidRPr="00B53E2F">
              <w:rPr>
                <w:b/>
              </w:rPr>
              <w:t xml:space="preserve"> 100</w:t>
            </w:r>
          </w:p>
        </w:tc>
        <w:tc>
          <w:tcPr>
            <w:tcW w:w="1404" w:type="dxa"/>
          </w:tcPr>
          <w:p w:rsidR="00427AE2" w:rsidRDefault="00427AE2" w:rsidP="00CD2C93">
            <w:pPr>
              <w:jc w:val="center"/>
            </w:pPr>
          </w:p>
        </w:tc>
        <w:tc>
          <w:tcPr>
            <w:tcW w:w="1400" w:type="dxa"/>
          </w:tcPr>
          <w:p w:rsidR="00427AE2" w:rsidRDefault="00427AE2"/>
        </w:tc>
        <w:tc>
          <w:tcPr>
            <w:tcW w:w="3220" w:type="dxa"/>
          </w:tcPr>
          <w:p w:rsidR="00427AE2" w:rsidRDefault="0046576B" w:rsidP="0046576B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</w:rPr>
              <w:t>ENGL 120</w:t>
            </w:r>
          </w:p>
        </w:tc>
      </w:tr>
      <w:tr w:rsidR="00427AE2" w:rsidTr="00427AE2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427AE2" w:rsidRDefault="00427AE2"/>
        </w:tc>
        <w:tc>
          <w:tcPr>
            <w:tcW w:w="4006" w:type="dxa"/>
          </w:tcPr>
          <w:p w:rsidR="00427AE2" w:rsidRPr="00A62623" w:rsidRDefault="00427AE2" w:rsidP="00A62623">
            <w:r>
              <w:rPr>
                <w:b/>
              </w:rPr>
              <w:t>PSYCH</w:t>
            </w:r>
            <w:r w:rsidRPr="00B53E2F">
              <w:rPr>
                <w:b/>
              </w:rPr>
              <w:t xml:space="preserve"> 1</w:t>
            </w:r>
            <w:r w:rsidR="00A62623">
              <w:rPr>
                <w:u w:val="single"/>
              </w:rPr>
              <w:t>__</w:t>
            </w:r>
          </w:p>
        </w:tc>
        <w:tc>
          <w:tcPr>
            <w:tcW w:w="1404" w:type="dxa"/>
          </w:tcPr>
          <w:p w:rsidR="00427AE2" w:rsidRDefault="00427AE2" w:rsidP="00CD2C93">
            <w:pPr>
              <w:jc w:val="center"/>
            </w:pPr>
          </w:p>
        </w:tc>
        <w:tc>
          <w:tcPr>
            <w:tcW w:w="1400" w:type="dxa"/>
          </w:tcPr>
          <w:p w:rsidR="00427AE2" w:rsidRDefault="00427AE2"/>
        </w:tc>
        <w:tc>
          <w:tcPr>
            <w:tcW w:w="3220" w:type="dxa"/>
            <w:shd w:val="clear" w:color="auto" w:fill="auto"/>
          </w:tcPr>
          <w:p w:rsidR="00427AE2" w:rsidRPr="00157892" w:rsidRDefault="00427AE2" w:rsidP="00157892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157892">
              <w:rPr>
                <w:b/>
              </w:rPr>
              <w:t>PSYCH 100</w:t>
            </w:r>
          </w:p>
        </w:tc>
      </w:tr>
      <w:tr w:rsidR="00427AE2" w:rsidTr="00427AE2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427AE2" w:rsidRDefault="00427AE2"/>
        </w:tc>
        <w:tc>
          <w:tcPr>
            <w:tcW w:w="4006" w:type="dxa"/>
          </w:tcPr>
          <w:p w:rsidR="0046576B" w:rsidRDefault="00427AE2" w:rsidP="00EE3EFC">
            <w:pPr>
              <w:rPr>
                <w:b/>
              </w:rPr>
            </w:pPr>
            <w:r>
              <w:rPr>
                <w:b/>
              </w:rPr>
              <w:t xml:space="preserve">MATH 125 or STAT 113 </w:t>
            </w:r>
          </w:p>
          <w:p w:rsidR="00427AE2" w:rsidRDefault="00427AE2" w:rsidP="00EE3EFC">
            <w:pPr>
              <w:rPr>
                <w:b/>
              </w:rPr>
            </w:pPr>
            <w:r w:rsidRPr="00EE3EFC">
              <w:rPr>
                <w:b/>
                <w:vertAlign w:val="superscript"/>
              </w:rPr>
              <w:t>Min</w:t>
            </w:r>
            <w:r w:rsidR="0046576B">
              <w:rPr>
                <w:b/>
                <w:vertAlign w:val="superscript"/>
              </w:rPr>
              <w:t>imum</w:t>
            </w:r>
            <w:r w:rsidRPr="00EE3EFC">
              <w:rPr>
                <w:b/>
                <w:vertAlign w:val="superscript"/>
              </w:rPr>
              <w:t xml:space="preserve"> Grade ‘C’</w:t>
            </w:r>
          </w:p>
        </w:tc>
        <w:tc>
          <w:tcPr>
            <w:tcW w:w="1404" w:type="dxa"/>
          </w:tcPr>
          <w:p w:rsidR="00427AE2" w:rsidRDefault="00427AE2" w:rsidP="00EE3EFC">
            <w:pPr>
              <w:spacing w:before="120"/>
              <w:jc w:val="center"/>
            </w:pPr>
          </w:p>
        </w:tc>
        <w:tc>
          <w:tcPr>
            <w:tcW w:w="1400" w:type="dxa"/>
          </w:tcPr>
          <w:p w:rsidR="00427AE2" w:rsidRDefault="00427AE2"/>
        </w:tc>
        <w:tc>
          <w:tcPr>
            <w:tcW w:w="3220" w:type="dxa"/>
            <w:shd w:val="clear" w:color="auto" w:fill="auto"/>
          </w:tcPr>
          <w:p w:rsidR="00427AE2" w:rsidRPr="00CD2C93" w:rsidRDefault="00427AE2" w:rsidP="00AA6BDA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MATH 101 or </w:t>
            </w:r>
            <w:r w:rsidRPr="00CD2C93">
              <w:rPr>
                <w:b/>
              </w:rPr>
              <w:t>Placement Exam</w:t>
            </w:r>
          </w:p>
        </w:tc>
      </w:tr>
      <w:tr w:rsidR="00B53E2F" w:rsidTr="00691D83">
        <w:trPr>
          <w:jc w:val="center"/>
        </w:trPr>
        <w:tc>
          <w:tcPr>
            <w:tcW w:w="760" w:type="dxa"/>
            <w:vMerge w:val="restart"/>
            <w:shd w:val="clear" w:color="auto" w:fill="F2F2F2" w:themeFill="background1" w:themeFillShade="F2"/>
            <w:textDirection w:val="btLr"/>
          </w:tcPr>
          <w:p w:rsidR="005517ED" w:rsidRPr="003E6FDC" w:rsidRDefault="00427AE2" w:rsidP="00267DDE">
            <w:pPr>
              <w:ind w:left="113" w:right="113"/>
              <w:rPr>
                <w:b/>
              </w:rPr>
            </w:pPr>
            <w:r>
              <w:rPr>
                <w:b/>
              </w:rPr>
              <w:t>SEMESTER</w:t>
            </w:r>
            <w:r w:rsidR="00A00AD9">
              <w:rPr>
                <w:b/>
              </w:rPr>
              <w:t xml:space="preserve">: </w:t>
            </w:r>
            <w:r w:rsidR="00221240">
              <w:rPr>
                <w:b/>
              </w:rPr>
              <w:t xml:space="preserve">  </w:t>
            </w:r>
          </w:p>
        </w:tc>
        <w:tc>
          <w:tcPr>
            <w:tcW w:w="4006" w:type="dxa"/>
          </w:tcPr>
          <w:p w:rsidR="0046576B" w:rsidRDefault="002B05A2" w:rsidP="00BF157D">
            <w:r w:rsidRPr="00BF157D">
              <w:rPr>
                <w:b/>
                <w:color w:val="E36C0A" w:themeColor="accent6" w:themeShade="BF"/>
              </w:rPr>
              <w:t>PSYCH</w:t>
            </w:r>
            <w:r w:rsidR="005517ED" w:rsidRPr="00BF157D">
              <w:rPr>
                <w:b/>
                <w:color w:val="E36C0A" w:themeColor="accent6" w:themeShade="BF"/>
              </w:rPr>
              <w:t xml:space="preserve"> 248</w:t>
            </w:r>
            <w:r w:rsidR="00C7355D">
              <w:rPr>
                <w:b/>
              </w:rPr>
              <w:t xml:space="preserve">: </w:t>
            </w:r>
            <w:r w:rsidR="00C7355D" w:rsidRPr="00C7355D">
              <w:t>Statistical Methods</w:t>
            </w:r>
            <w:r w:rsidR="00EE3EFC">
              <w:t xml:space="preserve"> </w:t>
            </w:r>
          </w:p>
          <w:p w:rsidR="005517ED" w:rsidRPr="00B53E2F" w:rsidRDefault="00EE3EFC" w:rsidP="00BF157D">
            <w:pPr>
              <w:rPr>
                <w:b/>
              </w:rPr>
            </w:pPr>
            <w:r w:rsidRPr="00EE3EFC">
              <w:rPr>
                <w:b/>
                <w:vertAlign w:val="superscript"/>
              </w:rPr>
              <w:t>Min</w:t>
            </w:r>
            <w:r w:rsidR="0046576B">
              <w:rPr>
                <w:b/>
                <w:vertAlign w:val="superscript"/>
              </w:rPr>
              <w:t>imum</w:t>
            </w:r>
            <w:r w:rsidRPr="00EE3EFC">
              <w:rPr>
                <w:b/>
                <w:vertAlign w:val="superscript"/>
              </w:rPr>
              <w:t xml:space="preserve"> Grade ‘C’</w:t>
            </w:r>
          </w:p>
        </w:tc>
        <w:tc>
          <w:tcPr>
            <w:tcW w:w="1404" w:type="dxa"/>
          </w:tcPr>
          <w:p w:rsidR="005517ED" w:rsidRDefault="005517ED" w:rsidP="00EE3EFC">
            <w:pPr>
              <w:spacing w:before="120"/>
              <w:jc w:val="center"/>
            </w:pPr>
          </w:p>
        </w:tc>
        <w:tc>
          <w:tcPr>
            <w:tcW w:w="1400" w:type="dxa"/>
          </w:tcPr>
          <w:p w:rsidR="005517ED" w:rsidRDefault="005517ED"/>
        </w:tc>
        <w:tc>
          <w:tcPr>
            <w:tcW w:w="3220" w:type="dxa"/>
            <w:shd w:val="clear" w:color="auto" w:fill="auto"/>
          </w:tcPr>
          <w:p w:rsidR="000844E0" w:rsidRDefault="000844E0" w:rsidP="000844E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6 Credits in PSYCH</w:t>
            </w:r>
          </w:p>
          <w:p w:rsidR="005517ED" w:rsidRPr="000844E0" w:rsidRDefault="0002047E" w:rsidP="000844E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0844E0">
              <w:rPr>
                <w:b/>
              </w:rPr>
              <w:t>MATH 125 or STAT 113</w:t>
            </w:r>
          </w:p>
        </w:tc>
      </w:tr>
      <w:tr w:rsidR="00B53E2F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5517ED" w:rsidRDefault="005517ED"/>
        </w:tc>
        <w:tc>
          <w:tcPr>
            <w:tcW w:w="4006" w:type="dxa"/>
          </w:tcPr>
          <w:p w:rsidR="0046576B" w:rsidRDefault="002B05A2">
            <w:r w:rsidRPr="00BF157D">
              <w:rPr>
                <w:b/>
                <w:color w:val="E36C0A" w:themeColor="accent6" w:themeShade="BF"/>
              </w:rPr>
              <w:t>PSYCH</w:t>
            </w:r>
            <w:r w:rsidR="005517ED" w:rsidRPr="00BF157D">
              <w:rPr>
                <w:b/>
                <w:color w:val="E36C0A" w:themeColor="accent6" w:themeShade="BF"/>
              </w:rPr>
              <w:t xml:space="preserve"> 250</w:t>
            </w:r>
            <w:r w:rsidR="00C7355D">
              <w:rPr>
                <w:b/>
              </w:rPr>
              <w:t xml:space="preserve">: </w:t>
            </w:r>
            <w:r w:rsidR="00C7355D" w:rsidRPr="00C7355D">
              <w:t>Experimental Psychology</w:t>
            </w:r>
            <w:r w:rsidR="00EE3EFC">
              <w:t xml:space="preserve"> </w:t>
            </w:r>
          </w:p>
          <w:p w:rsidR="005517ED" w:rsidRPr="0046576B" w:rsidRDefault="00EE3EFC">
            <w:pPr>
              <w:rPr>
                <w:b/>
              </w:rPr>
            </w:pPr>
            <w:r w:rsidRPr="0046576B">
              <w:rPr>
                <w:b/>
                <w:vertAlign w:val="superscript"/>
              </w:rPr>
              <w:t>Writing</w:t>
            </w:r>
            <w:r w:rsidR="0046576B">
              <w:rPr>
                <w:b/>
                <w:vertAlign w:val="superscript"/>
              </w:rPr>
              <w:t xml:space="preserve"> Intensive</w:t>
            </w:r>
          </w:p>
        </w:tc>
        <w:tc>
          <w:tcPr>
            <w:tcW w:w="1404" w:type="dxa"/>
          </w:tcPr>
          <w:p w:rsidR="005517ED" w:rsidRDefault="005517ED" w:rsidP="00BF2F71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1400" w:type="dxa"/>
          </w:tcPr>
          <w:p w:rsidR="005517ED" w:rsidRDefault="005517ED"/>
        </w:tc>
        <w:tc>
          <w:tcPr>
            <w:tcW w:w="3220" w:type="dxa"/>
            <w:shd w:val="clear" w:color="auto" w:fill="auto"/>
          </w:tcPr>
          <w:p w:rsidR="005517ED" w:rsidRPr="00157892" w:rsidRDefault="002B05A2" w:rsidP="0015789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57892">
              <w:rPr>
                <w:b/>
              </w:rPr>
              <w:t>PSYCH 248</w:t>
            </w:r>
          </w:p>
        </w:tc>
      </w:tr>
      <w:tr w:rsidR="005517ED" w:rsidTr="00691D83">
        <w:trPr>
          <w:trHeight w:val="77"/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5517ED" w:rsidRDefault="005517ED"/>
        </w:tc>
        <w:tc>
          <w:tcPr>
            <w:tcW w:w="10030" w:type="dxa"/>
            <w:gridSpan w:val="4"/>
          </w:tcPr>
          <w:p w:rsidR="005517ED" w:rsidRPr="00B53E2F" w:rsidRDefault="005517ED">
            <w:pPr>
              <w:rPr>
                <w:b/>
              </w:rPr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10030" w:type="dxa"/>
            <w:gridSpan w:val="4"/>
            <w:shd w:val="clear" w:color="auto" w:fill="F2F2F2" w:themeFill="background1" w:themeFillShade="F2"/>
          </w:tcPr>
          <w:p w:rsidR="00BF157D" w:rsidRPr="00B06C5B" w:rsidRDefault="00B06C5B" w:rsidP="00BF157D">
            <w:pPr>
              <w:jc w:val="center"/>
              <w:rPr>
                <w:b/>
              </w:rPr>
            </w:pPr>
            <w:r>
              <w:rPr>
                <w:b/>
              </w:rPr>
              <w:t>Take One Course in Each Category Below</w:t>
            </w:r>
          </w:p>
        </w:tc>
      </w:tr>
      <w:tr w:rsidR="00BF157D" w:rsidTr="00691D83">
        <w:trPr>
          <w:trHeight w:val="77"/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10030" w:type="dxa"/>
            <w:gridSpan w:val="4"/>
          </w:tcPr>
          <w:p w:rsidR="00BF157D" w:rsidRPr="00B06C5B" w:rsidRDefault="0046576B" w:rsidP="0046576B">
            <w:pPr>
              <w:jc w:val="center"/>
            </w:pPr>
            <w:r>
              <w:t xml:space="preserve">At Least </w:t>
            </w:r>
            <w:r w:rsidR="002302DB">
              <w:t>Two (</w:t>
            </w:r>
            <w:r w:rsidR="002302DB" w:rsidRPr="002302DB">
              <w:rPr>
                <w:b/>
              </w:rPr>
              <w:t>2</w:t>
            </w:r>
            <w:r w:rsidR="002302DB">
              <w:t>) out of the Four (</w:t>
            </w:r>
            <w:r w:rsidR="002302DB" w:rsidRPr="002302DB">
              <w:rPr>
                <w:b/>
              </w:rPr>
              <w:t>4</w:t>
            </w:r>
            <w:r w:rsidR="002302DB">
              <w:t xml:space="preserve">) </w:t>
            </w:r>
            <w:r>
              <w:t xml:space="preserve">Content </w:t>
            </w:r>
            <w:r w:rsidR="00B06C5B" w:rsidRPr="00B06C5B">
              <w:t xml:space="preserve">Categories Must Be Fulfilled On The </w:t>
            </w:r>
            <w:r w:rsidR="002302DB">
              <w:rPr>
                <w:b/>
                <w:i/>
              </w:rPr>
              <w:t>300-L</w:t>
            </w:r>
            <w:r w:rsidR="00B06C5B" w:rsidRPr="002302DB">
              <w:rPr>
                <w:b/>
                <w:i/>
              </w:rPr>
              <w:t>evel</w:t>
            </w: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</w:tcPr>
          <w:p w:rsidR="00BF157D" w:rsidRPr="00B51E79" w:rsidRDefault="00BF157D" w:rsidP="00BF157D">
            <w:r w:rsidRPr="00B06C5B">
              <w:rPr>
                <w:b/>
                <w:u w:val="single"/>
              </w:rPr>
              <w:t>A</w:t>
            </w:r>
            <w:r w:rsidRPr="002824B3">
              <w:rPr>
                <w:b/>
              </w:rPr>
              <w:t>pplications</w:t>
            </w:r>
            <w:r>
              <w:rPr>
                <w:b/>
              </w:rPr>
              <w:t xml:space="preserve">: </w:t>
            </w:r>
            <w:r>
              <w:t xml:space="preserve"> 221</w:t>
            </w:r>
            <w:r>
              <w:rPr>
                <w:vertAlign w:val="superscript"/>
              </w:rPr>
              <w:t>d/s</w:t>
            </w:r>
            <w:r>
              <w:t>, 223</w:t>
            </w:r>
            <w:r>
              <w:rPr>
                <w:vertAlign w:val="superscript"/>
              </w:rPr>
              <w:t>d/s</w:t>
            </w:r>
            <w:r>
              <w:t>, 240, 242, 306/307, 323</w:t>
            </w:r>
            <w:r>
              <w:rPr>
                <w:vertAlign w:val="superscript"/>
              </w:rPr>
              <w:t>d/s</w:t>
            </w:r>
            <w:r>
              <w:t>, 328</w:t>
            </w:r>
            <w:r>
              <w:rPr>
                <w:vertAlign w:val="superscript"/>
              </w:rPr>
              <w:t>c</w:t>
            </w:r>
            <w:r>
              <w:t>, 340, 341, 342, 344, 361, 362</w:t>
            </w:r>
            <w:r>
              <w:rPr>
                <w:vertAlign w:val="superscript"/>
              </w:rPr>
              <w:t>d/s</w:t>
            </w:r>
            <w:r>
              <w:t>, 363</w:t>
            </w:r>
            <w:r>
              <w:rPr>
                <w:vertAlign w:val="superscript"/>
              </w:rPr>
              <w:t>d/s</w:t>
            </w:r>
            <w:r>
              <w:t>, 364, 365</w:t>
            </w:r>
            <w:r>
              <w:rPr>
                <w:vertAlign w:val="superscript"/>
              </w:rPr>
              <w:t>d/s</w:t>
            </w:r>
            <w:r>
              <w:t>, 366</w:t>
            </w:r>
            <w:r>
              <w:rPr>
                <w:vertAlign w:val="superscript"/>
              </w:rPr>
              <w:t>d/s</w:t>
            </w:r>
            <w:r>
              <w:t>, 384</w:t>
            </w:r>
            <w:r>
              <w:rPr>
                <w:vertAlign w:val="superscript"/>
              </w:rPr>
              <w:t>d/s</w:t>
            </w:r>
            <w:r>
              <w:t>, 386, 387</w:t>
            </w:r>
            <w:r>
              <w:rPr>
                <w:vertAlign w:val="superscript"/>
              </w:rPr>
              <w:t>d/s</w:t>
            </w:r>
            <w:r>
              <w:t>, 390.56</w:t>
            </w:r>
            <w:r>
              <w:rPr>
                <w:vertAlign w:val="superscript"/>
              </w:rPr>
              <w:t>d/s</w:t>
            </w:r>
          </w:p>
        </w:tc>
        <w:tc>
          <w:tcPr>
            <w:tcW w:w="1404" w:type="dxa"/>
          </w:tcPr>
          <w:p w:rsidR="00BF157D" w:rsidRDefault="00BF157D" w:rsidP="00BF157D"/>
          <w:p w:rsidR="00EE3EFC" w:rsidRDefault="00EE3EFC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4471A7" w:rsidRDefault="004471A7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 w:val="restart"/>
            <w:shd w:val="clear" w:color="auto" w:fill="F2F2F2" w:themeFill="background1" w:themeFillShade="F2"/>
            <w:textDirection w:val="btLr"/>
          </w:tcPr>
          <w:p w:rsidR="00BF157D" w:rsidRDefault="00427AE2" w:rsidP="00267DDE">
            <w:pPr>
              <w:ind w:left="113" w:right="113"/>
            </w:pPr>
            <w:r>
              <w:rPr>
                <w:b/>
              </w:rPr>
              <w:t>STUDENT</w:t>
            </w:r>
            <w:r w:rsidR="00A00AD9">
              <w:rPr>
                <w:b/>
              </w:rPr>
              <w:t>:</w:t>
            </w:r>
            <w:r w:rsidR="00221240">
              <w:rPr>
                <w:b/>
              </w:rPr>
              <w:t xml:space="preserve">   </w:t>
            </w:r>
          </w:p>
        </w:tc>
        <w:tc>
          <w:tcPr>
            <w:tcW w:w="4006" w:type="dxa"/>
          </w:tcPr>
          <w:p w:rsidR="00BF157D" w:rsidRPr="00B51E79" w:rsidRDefault="00BF157D" w:rsidP="00BF157D">
            <w:r w:rsidRPr="00B06C5B">
              <w:rPr>
                <w:b/>
                <w:u w:val="single"/>
              </w:rPr>
              <w:t>B</w:t>
            </w:r>
            <w:r w:rsidRPr="00B06C5B">
              <w:rPr>
                <w:b/>
              </w:rPr>
              <w:t>iopsychology</w:t>
            </w:r>
            <w:r>
              <w:rPr>
                <w:b/>
              </w:rPr>
              <w:t>:</w:t>
            </w:r>
            <w:r>
              <w:t xml:space="preserve"> 224, 225, 300, 301</w:t>
            </w:r>
            <w:r>
              <w:rPr>
                <w:vertAlign w:val="superscript"/>
              </w:rPr>
              <w:t>c</w:t>
            </w:r>
            <w:r>
              <w:t>, 309</w:t>
            </w:r>
            <w:r>
              <w:rPr>
                <w:vertAlign w:val="superscript"/>
              </w:rPr>
              <w:t>d/s</w:t>
            </w:r>
            <w:r>
              <w:t>, 316</w:t>
            </w:r>
            <w:r>
              <w:rPr>
                <w:vertAlign w:val="superscript"/>
              </w:rPr>
              <w:t>c</w:t>
            </w:r>
            <w:r>
              <w:t>, 320, 321, 324</w:t>
            </w:r>
            <w:r>
              <w:rPr>
                <w:vertAlign w:val="superscript"/>
              </w:rPr>
              <w:t>c</w:t>
            </w:r>
            <w:r>
              <w:t>, 325</w:t>
            </w:r>
            <w:r>
              <w:rPr>
                <w:vertAlign w:val="superscript"/>
              </w:rPr>
              <w:t>c</w:t>
            </w:r>
            <w:r>
              <w:t>, 327</w:t>
            </w:r>
            <w:r>
              <w:rPr>
                <w:vertAlign w:val="superscript"/>
              </w:rPr>
              <w:t>c</w:t>
            </w:r>
            <w:r>
              <w:t>, 367, 369, 381, 382</w:t>
            </w:r>
          </w:p>
        </w:tc>
        <w:tc>
          <w:tcPr>
            <w:tcW w:w="1404" w:type="dxa"/>
          </w:tcPr>
          <w:p w:rsidR="00BF157D" w:rsidRDefault="00BF157D" w:rsidP="00BF157D"/>
          <w:p w:rsidR="00EE3EFC" w:rsidRDefault="00EE3EFC" w:rsidP="00267DDE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4471A7" w:rsidRDefault="004471A7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</w:tcPr>
          <w:p w:rsidR="00BF157D" w:rsidRPr="005517ED" w:rsidRDefault="00BF157D" w:rsidP="00BF157D">
            <w:r w:rsidRPr="00B06C5B">
              <w:rPr>
                <w:b/>
                <w:u w:val="single"/>
              </w:rPr>
              <w:t>C</w:t>
            </w:r>
            <w:r w:rsidRPr="002824B3">
              <w:rPr>
                <w:b/>
              </w:rPr>
              <w:t>ognitive</w:t>
            </w:r>
            <w:r>
              <w:rPr>
                <w:b/>
              </w:rPr>
              <w:t>:</w:t>
            </w:r>
            <w:r>
              <w:t xml:space="preserve"> 243/270, 301</w:t>
            </w:r>
            <w:r>
              <w:rPr>
                <w:vertAlign w:val="superscript"/>
              </w:rPr>
              <w:t>b</w:t>
            </w:r>
            <w:r>
              <w:t>, 310</w:t>
            </w:r>
            <w:r>
              <w:rPr>
                <w:vertAlign w:val="superscript"/>
              </w:rPr>
              <w:t>d/s</w:t>
            </w:r>
            <w:r>
              <w:t>, 316</w:t>
            </w:r>
            <w:r>
              <w:rPr>
                <w:vertAlign w:val="superscript"/>
              </w:rPr>
              <w:t>b</w:t>
            </w:r>
            <w:r>
              <w:t>, 322, 324</w:t>
            </w:r>
            <w:r>
              <w:rPr>
                <w:vertAlign w:val="superscript"/>
              </w:rPr>
              <w:t>b</w:t>
            </w:r>
            <w:r>
              <w:t>, 325</w:t>
            </w:r>
            <w:r>
              <w:rPr>
                <w:vertAlign w:val="superscript"/>
              </w:rPr>
              <w:t>b</w:t>
            </w:r>
            <w:r>
              <w:t>, 327</w:t>
            </w:r>
            <w:r>
              <w:rPr>
                <w:vertAlign w:val="superscript"/>
              </w:rPr>
              <w:t>b</w:t>
            </w:r>
            <w:r>
              <w:t>, 328</w:t>
            </w:r>
            <w:r>
              <w:rPr>
                <w:vertAlign w:val="superscript"/>
              </w:rPr>
              <w:t>a</w:t>
            </w:r>
            <w:r>
              <w:t>, 329, 330, 350, 370</w:t>
            </w:r>
            <w:r>
              <w:rPr>
                <w:vertAlign w:val="superscript"/>
              </w:rPr>
              <w:t>d/s</w:t>
            </w:r>
          </w:p>
        </w:tc>
        <w:tc>
          <w:tcPr>
            <w:tcW w:w="1404" w:type="dxa"/>
          </w:tcPr>
          <w:p w:rsidR="00BF157D" w:rsidRDefault="00BF157D" w:rsidP="00EE3EFC">
            <w:pPr>
              <w:jc w:val="center"/>
            </w:pPr>
          </w:p>
          <w:p w:rsidR="00EE3EFC" w:rsidRDefault="00EE3EFC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4471A7" w:rsidRDefault="004471A7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</w:tcPr>
          <w:p w:rsidR="00BF157D" w:rsidRPr="005517ED" w:rsidRDefault="00BF157D" w:rsidP="00BF157D">
            <w:r w:rsidRPr="00B06C5B">
              <w:rPr>
                <w:b/>
                <w:u w:val="single"/>
              </w:rPr>
              <w:t>D</w:t>
            </w:r>
            <w:r>
              <w:rPr>
                <w:b/>
              </w:rPr>
              <w:t>evelop/Social:</w:t>
            </w:r>
            <w:r>
              <w:t xml:space="preserve"> 210, 212, 220, 221</w:t>
            </w:r>
            <w:r>
              <w:rPr>
                <w:vertAlign w:val="superscript"/>
              </w:rPr>
              <w:t>a</w:t>
            </w:r>
            <w:r>
              <w:t>, 223</w:t>
            </w:r>
            <w:r>
              <w:rPr>
                <w:vertAlign w:val="superscript"/>
              </w:rPr>
              <w:t>a</w:t>
            </w:r>
            <w:r>
              <w:t>, 230, 235, 309</w:t>
            </w:r>
            <w:r>
              <w:rPr>
                <w:vertAlign w:val="superscript"/>
              </w:rPr>
              <w:t>b</w:t>
            </w:r>
            <w:r>
              <w:t>, 310</w:t>
            </w:r>
            <w:r>
              <w:rPr>
                <w:vertAlign w:val="superscript"/>
              </w:rPr>
              <w:t>c</w:t>
            </w:r>
            <w:r>
              <w:t>, 313, 315, 323</w:t>
            </w:r>
            <w:r>
              <w:rPr>
                <w:vertAlign w:val="superscript"/>
              </w:rPr>
              <w:t>a</w:t>
            </w:r>
            <w:r>
              <w:t>, 331, 332, 333, 334, 355, 362</w:t>
            </w:r>
            <w:r>
              <w:rPr>
                <w:vertAlign w:val="superscript"/>
              </w:rPr>
              <w:t>a</w:t>
            </w:r>
            <w:r>
              <w:t>, 363</w:t>
            </w:r>
            <w:r>
              <w:rPr>
                <w:vertAlign w:val="superscript"/>
              </w:rPr>
              <w:t>a</w:t>
            </w:r>
            <w:r>
              <w:t>, 365, 366</w:t>
            </w:r>
            <w:r>
              <w:rPr>
                <w:vertAlign w:val="superscript"/>
              </w:rPr>
              <w:t>a</w:t>
            </w:r>
            <w:r>
              <w:t>, 370</w:t>
            </w:r>
            <w:r>
              <w:rPr>
                <w:vertAlign w:val="superscript"/>
              </w:rPr>
              <w:t>c</w:t>
            </w:r>
            <w:r>
              <w:t>, 384</w:t>
            </w:r>
            <w:r>
              <w:rPr>
                <w:vertAlign w:val="superscript"/>
              </w:rPr>
              <w:t>a</w:t>
            </w:r>
            <w:r>
              <w:t>, 385, 387</w:t>
            </w:r>
            <w:r>
              <w:rPr>
                <w:vertAlign w:val="superscript"/>
              </w:rPr>
              <w:t>a</w:t>
            </w:r>
            <w:r>
              <w:t>, 390.56</w:t>
            </w:r>
            <w:r>
              <w:rPr>
                <w:vertAlign w:val="superscript"/>
              </w:rPr>
              <w:t>a</w:t>
            </w:r>
            <w:r>
              <w:t>)</w:t>
            </w:r>
          </w:p>
        </w:tc>
        <w:tc>
          <w:tcPr>
            <w:tcW w:w="1404" w:type="dxa"/>
          </w:tcPr>
          <w:p w:rsidR="00BF157D" w:rsidRDefault="00BF157D" w:rsidP="00EE3EFC">
            <w:pPr>
              <w:jc w:val="center"/>
            </w:pPr>
          </w:p>
          <w:p w:rsidR="00EE3EFC" w:rsidRDefault="00EE3EFC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4471A7" w:rsidRDefault="004471A7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10030" w:type="dxa"/>
            <w:gridSpan w:val="4"/>
            <w:shd w:val="clear" w:color="auto" w:fill="F2F2F2" w:themeFill="background1" w:themeFillShade="F2"/>
          </w:tcPr>
          <w:p w:rsidR="00BF157D" w:rsidRPr="00404484" w:rsidRDefault="00BF157D" w:rsidP="00BF157D">
            <w:pPr>
              <w:jc w:val="center"/>
              <w:rPr>
                <w:b/>
              </w:rPr>
            </w:pPr>
            <w:r>
              <w:rPr>
                <w:b/>
              </w:rPr>
              <w:t xml:space="preserve">Major </w:t>
            </w:r>
            <w:r w:rsidRPr="00404484">
              <w:rPr>
                <w:b/>
              </w:rPr>
              <w:t>Electives</w:t>
            </w: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</w:tcPr>
          <w:p w:rsidR="00BF157D" w:rsidRPr="002824B3" w:rsidRDefault="00BF157D" w:rsidP="00BF157D">
            <w:pPr>
              <w:tabs>
                <w:tab w:val="left" w:pos="2205"/>
              </w:tabs>
              <w:rPr>
                <w:b/>
              </w:rPr>
            </w:pPr>
            <w:r w:rsidRPr="002824B3">
              <w:rPr>
                <w:b/>
              </w:rPr>
              <w:t>Psych 200 or Higher</w:t>
            </w:r>
            <w:r>
              <w:rPr>
                <w:b/>
              </w:rPr>
              <w:tab/>
            </w:r>
          </w:p>
        </w:tc>
        <w:tc>
          <w:tcPr>
            <w:tcW w:w="1404" w:type="dxa"/>
          </w:tcPr>
          <w:p w:rsidR="00BF157D" w:rsidRDefault="00BF157D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</w:tcPr>
          <w:p w:rsidR="00BF157D" w:rsidRPr="002824B3" w:rsidRDefault="00BF157D" w:rsidP="00BF157D">
            <w:pPr>
              <w:rPr>
                <w:b/>
              </w:rPr>
            </w:pPr>
            <w:r w:rsidRPr="002824B3">
              <w:rPr>
                <w:b/>
              </w:rPr>
              <w:t xml:space="preserve">Psych 200 or Higher </w:t>
            </w:r>
          </w:p>
        </w:tc>
        <w:tc>
          <w:tcPr>
            <w:tcW w:w="1404" w:type="dxa"/>
          </w:tcPr>
          <w:p w:rsidR="00BF157D" w:rsidRDefault="00BF157D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4471A7">
            <w:pPr>
              <w:jc w:val="center"/>
            </w:pPr>
          </w:p>
        </w:tc>
        <w:tc>
          <w:tcPr>
            <w:tcW w:w="3220" w:type="dxa"/>
          </w:tcPr>
          <w:p w:rsidR="00BF157D" w:rsidRDefault="00BF157D" w:rsidP="00BF157D">
            <w:pPr>
              <w:jc w:val="center"/>
            </w:pPr>
          </w:p>
        </w:tc>
      </w:tr>
      <w:tr w:rsidR="00BF157D" w:rsidTr="00691D83">
        <w:trPr>
          <w:jc w:val="center"/>
        </w:trPr>
        <w:tc>
          <w:tcPr>
            <w:tcW w:w="760" w:type="dxa"/>
            <w:vMerge w:val="restart"/>
            <w:shd w:val="clear" w:color="auto" w:fill="F2F2F2" w:themeFill="background1" w:themeFillShade="F2"/>
            <w:textDirection w:val="btLr"/>
          </w:tcPr>
          <w:p w:rsidR="00A00AD9" w:rsidRDefault="00427AE2" w:rsidP="00A00AD9">
            <w:pPr>
              <w:ind w:left="113" w:right="113"/>
              <w:rPr>
                <w:b/>
              </w:rPr>
            </w:pPr>
            <w:r>
              <w:rPr>
                <w:b/>
              </w:rPr>
              <w:t>EMPLID:</w:t>
            </w:r>
            <w:r w:rsidR="00221240">
              <w:rPr>
                <w:b/>
              </w:rPr>
              <w:t xml:space="preserve">   </w:t>
            </w:r>
          </w:p>
          <w:p w:rsidR="00BF157D" w:rsidRDefault="00BF157D" w:rsidP="00A00AD9">
            <w:pPr>
              <w:ind w:left="113" w:right="113"/>
            </w:pPr>
          </w:p>
        </w:tc>
        <w:tc>
          <w:tcPr>
            <w:tcW w:w="10030" w:type="dxa"/>
            <w:gridSpan w:val="4"/>
            <w:shd w:val="clear" w:color="auto" w:fill="F2F2F2" w:themeFill="background1" w:themeFillShade="F2"/>
          </w:tcPr>
          <w:p w:rsidR="00BF157D" w:rsidRDefault="00BF157D" w:rsidP="00BF157D">
            <w:pPr>
              <w:jc w:val="center"/>
              <w:rPr>
                <w:b/>
              </w:rPr>
            </w:pPr>
            <w:r w:rsidRPr="002824B3">
              <w:rPr>
                <w:b/>
              </w:rPr>
              <w:t>Laboratory Science</w:t>
            </w:r>
            <w:r>
              <w:rPr>
                <w:b/>
              </w:rPr>
              <w:t xml:space="preserve">: </w:t>
            </w:r>
          </w:p>
          <w:p w:rsidR="00BF157D" w:rsidRPr="002824B3" w:rsidRDefault="00BF157D" w:rsidP="00BF157D">
            <w:pPr>
              <w:jc w:val="center"/>
              <w:rPr>
                <w:b/>
              </w:rPr>
            </w:pPr>
            <w:r>
              <w:t>Complete 2 Laboratory Science courses that consist of a lecture and lab. Each must be a min of 4 cr. or more</w:t>
            </w:r>
          </w:p>
        </w:tc>
      </w:tr>
      <w:tr w:rsidR="00BF157D" w:rsidTr="00691D83">
        <w:trPr>
          <w:trHeight w:val="1331"/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  <w:vMerge w:val="restart"/>
          </w:tcPr>
          <w:p w:rsidR="00BF157D" w:rsidRDefault="00BF157D" w:rsidP="00577DE2">
            <w:pPr>
              <w:jc w:val="center"/>
              <w:rPr>
                <w:b/>
              </w:rPr>
            </w:pPr>
            <w:r w:rsidRPr="00B53E2F">
              <w:rPr>
                <w:b/>
              </w:rPr>
              <w:t>Laboratory Science</w:t>
            </w:r>
            <w:r>
              <w:rPr>
                <w:b/>
              </w:rPr>
              <w:t xml:space="preserve"> Course List:</w:t>
            </w:r>
          </w:p>
          <w:p w:rsidR="00577DE2" w:rsidRDefault="00577DE2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ANTHP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101; 102 </w:t>
            </w:r>
          </w:p>
          <w:p w:rsidR="00577DE2" w:rsidRDefault="00577DE2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>***</w:t>
            </w:r>
            <w:r w:rsidR="0069397A">
              <w:rPr>
                <w:rFonts w:eastAsia="Arial Unicode MS" w:cs="Arial Unicode MS"/>
                <w:b/>
                <w:sz w:val="20"/>
                <w:szCs w:val="20"/>
              </w:rPr>
              <w:t xml:space="preserve">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ASTRO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100/102;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101; 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>100/107;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 xml:space="preserve"> </w:t>
            </w:r>
          </w:p>
          <w:p w:rsidR="00577DE2" w:rsidRDefault="00577DE2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BIOL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100; 102; 120;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122; 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125; 150 </w:t>
            </w:r>
          </w:p>
          <w:p w:rsidR="0069397A" w:rsidRDefault="00577DE2" w:rsidP="00BF157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 xml:space="preserve">CHEM </w:t>
            </w:r>
            <w:r w:rsidR="0069397A">
              <w:rPr>
                <w:rFonts w:eastAsia="Arial Unicode MS" w:cs="Arial Unicode MS"/>
                <w:sz w:val="20"/>
                <w:szCs w:val="20"/>
              </w:rPr>
              <w:t>100/101, 102/103; 102 LC—104</w:t>
            </w:r>
          </w:p>
          <w:p w:rsidR="00577DE2" w:rsidRDefault="0069397A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        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LC/106 LB </w:t>
            </w:r>
          </w:p>
          <w:p w:rsidR="00577DE2" w:rsidRDefault="00577DE2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GEOL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100/101 </w:t>
            </w:r>
          </w:p>
          <w:p w:rsidR="00577DE2" w:rsidRDefault="00577DE2" w:rsidP="00BF157D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PGEOG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130;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140/141; 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231 </w:t>
            </w:r>
          </w:p>
          <w:p w:rsidR="00BF157D" w:rsidRPr="00577DE2" w:rsidRDefault="00577DE2" w:rsidP="00577DE2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sz w:val="20"/>
                <w:szCs w:val="20"/>
              </w:rPr>
              <w:t xml:space="preserve">*** </w:t>
            </w:r>
            <w:r w:rsidR="00BF157D" w:rsidRPr="00173C7D">
              <w:rPr>
                <w:rFonts w:eastAsia="Arial Unicode MS" w:cs="Arial Unicode MS"/>
                <w:b/>
                <w:sz w:val="20"/>
                <w:szCs w:val="20"/>
              </w:rPr>
              <w:t>PHYS</w:t>
            </w:r>
            <w:r w:rsidR="00BF157D" w:rsidRPr="00173C7D">
              <w:rPr>
                <w:rFonts w:eastAsia="Arial Unicode MS" w:cs="Arial Unicode MS"/>
                <w:sz w:val="20"/>
                <w:szCs w:val="20"/>
              </w:rPr>
              <w:t xml:space="preserve"> 110, 120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:rsidR="00BF157D" w:rsidRDefault="00BF157D" w:rsidP="00BF157D"/>
          <w:p w:rsidR="00EE3EFC" w:rsidRDefault="00EE3EFC" w:rsidP="00221240">
            <w:pPr>
              <w:jc w:val="center"/>
            </w:pPr>
          </w:p>
          <w:p w:rsidR="00221240" w:rsidRDefault="00221240" w:rsidP="00221240">
            <w:pPr>
              <w:jc w:val="center"/>
            </w:pPr>
          </w:p>
          <w:p w:rsidR="00EE3EFC" w:rsidRDefault="00EE3EFC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221240" w:rsidRDefault="00221240" w:rsidP="00267DDE">
            <w:pPr>
              <w:jc w:val="center"/>
            </w:pPr>
          </w:p>
        </w:tc>
        <w:tc>
          <w:tcPr>
            <w:tcW w:w="3220" w:type="dxa"/>
            <w:vMerge w:val="restart"/>
          </w:tcPr>
          <w:p w:rsidR="00BF157D" w:rsidRPr="00173C7D" w:rsidRDefault="00BF157D" w:rsidP="00BF157D">
            <w:pPr>
              <w:rPr>
                <w:sz w:val="20"/>
                <w:szCs w:val="20"/>
              </w:rPr>
            </w:pPr>
            <w:r w:rsidRPr="00173C7D">
              <w:rPr>
                <w:rFonts w:eastAsia="Arial Unicode MS" w:cs="Arial Unicode MS"/>
                <w:sz w:val="20"/>
                <w:szCs w:val="20"/>
              </w:rPr>
              <w:t>→</w:t>
            </w:r>
            <w:r w:rsidRPr="00173C7D">
              <w:rPr>
                <w:rFonts w:eastAsia="Arial Unicode MS" w:cs="Arial Unicode MS"/>
                <w:b/>
                <w:i/>
                <w:sz w:val="20"/>
                <w:szCs w:val="20"/>
              </w:rPr>
              <w:t>One</w:t>
            </w:r>
            <w:r w:rsidRPr="00173C7D">
              <w:rPr>
                <w:rFonts w:eastAsia="Arial Unicode MS" w:cs="Arial Unicode MS"/>
                <w:sz w:val="20"/>
                <w:szCs w:val="20"/>
              </w:rPr>
              <w:t xml:space="preserve"> laboratory science must be complete</w:t>
            </w:r>
            <w:r w:rsidR="00E93CC5">
              <w:rPr>
                <w:rFonts w:eastAsia="Arial Unicode MS" w:cs="Arial Unicode MS"/>
                <w:sz w:val="20"/>
                <w:szCs w:val="20"/>
              </w:rPr>
              <w:t xml:space="preserve">d before enrolling in </w:t>
            </w:r>
            <w:r w:rsidR="00E93CC5" w:rsidRPr="00E93CC5">
              <w:rPr>
                <w:rFonts w:eastAsia="Arial Unicode MS" w:cs="Arial Unicode MS"/>
                <w:b/>
                <w:sz w:val="20"/>
                <w:szCs w:val="20"/>
              </w:rPr>
              <w:t>PSYCH 25</w:t>
            </w:r>
            <w:r w:rsidRPr="00E93CC5">
              <w:rPr>
                <w:rFonts w:eastAsia="Arial Unicode MS" w:cs="Arial Unicode MS"/>
                <w:b/>
                <w:sz w:val="20"/>
                <w:szCs w:val="20"/>
              </w:rPr>
              <w:t>0</w:t>
            </w:r>
            <w:r w:rsidRPr="00173C7D">
              <w:rPr>
                <w:rFonts w:eastAsia="Arial Unicode MS" w:cs="Arial Unicode MS"/>
                <w:sz w:val="20"/>
                <w:szCs w:val="20"/>
              </w:rPr>
              <w:t>←</w:t>
            </w:r>
          </w:p>
          <w:p w:rsidR="00BF157D" w:rsidRDefault="00BF157D" w:rsidP="00BF157D">
            <w:pPr>
              <w:rPr>
                <w:sz w:val="20"/>
                <w:szCs w:val="20"/>
              </w:rPr>
            </w:pPr>
          </w:p>
          <w:p w:rsidR="00BF157D" w:rsidRDefault="00BF157D" w:rsidP="00BF157D">
            <w:pPr>
              <w:rPr>
                <w:sz w:val="20"/>
                <w:szCs w:val="20"/>
              </w:rPr>
            </w:pPr>
          </w:p>
          <w:p w:rsidR="00BF157D" w:rsidRPr="002F6274" w:rsidRDefault="00BF157D" w:rsidP="00BF1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53967">
              <w:rPr>
                <w:sz w:val="20"/>
                <w:szCs w:val="20"/>
              </w:rPr>
              <w:t>MATH 125 and CHEM 102 are</w:t>
            </w:r>
            <w:r w:rsidRPr="00C7355D">
              <w:rPr>
                <w:sz w:val="20"/>
                <w:szCs w:val="20"/>
              </w:rPr>
              <w:t xml:space="preserve"> pre-requisites for pr</w:t>
            </w:r>
            <w:r w:rsidR="00253967">
              <w:rPr>
                <w:sz w:val="20"/>
                <w:szCs w:val="20"/>
              </w:rPr>
              <w:t>e-med</w:t>
            </w:r>
            <w:r>
              <w:rPr>
                <w:sz w:val="20"/>
                <w:szCs w:val="20"/>
              </w:rPr>
              <w:t xml:space="preserve"> </w:t>
            </w:r>
            <w:r w:rsidR="00253967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BIOL 100</w:t>
            </w:r>
            <w:r w:rsidR="0025396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  <w:p w:rsidR="00BF157D" w:rsidRPr="002824B3" w:rsidRDefault="00BF157D" w:rsidP="00BF157D"/>
        </w:tc>
      </w:tr>
      <w:tr w:rsidR="00BF157D" w:rsidTr="00691D83">
        <w:trPr>
          <w:trHeight w:val="791"/>
          <w:jc w:val="center"/>
        </w:trPr>
        <w:tc>
          <w:tcPr>
            <w:tcW w:w="760" w:type="dxa"/>
            <w:vMerge/>
            <w:shd w:val="clear" w:color="auto" w:fill="F2F2F2" w:themeFill="background1" w:themeFillShade="F2"/>
          </w:tcPr>
          <w:p w:rsidR="00BF157D" w:rsidRDefault="00BF157D" w:rsidP="00BF157D"/>
        </w:tc>
        <w:tc>
          <w:tcPr>
            <w:tcW w:w="4006" w:type="dxa"/>
            <w:vMerge/>
          </w:tcPr>
          <w:p w:rsidR="00BF157D" w:rsidRDefault="00BF157D" w:rsidP="00BF157D"/>
        </w:tc>
        <w:tc>
          <w:tcPr>
            <w:tcW w:w="1404" w:type="dxa"/>
          </w:tcPr>
          <w:p w:rsidR="00BF157D" w:rsidRDefault="00BF157D" w:rsidP="00BF157D"/>
          <w:p w:rsidR="00EE3EFC" w:rsidRDefault="00EE3EFC" w:rsidP="00EE3EFC">
            <w:pPr>
              <w:jc w:val="center"/>
            </w:pPr>
          </w:p>
        </w:tc>
        <w:tc>
          <w:tcPr>
            <w:tcW w:w="1400" w:type="dxa"/>
          </w:tcPr>
          <w:p w:rsidR="00BF157D" w:rsidRDefault="00BF157D" w:rsidP="00BF157D"/>
          <w:p w:rsidR="004471A7" w:rsidRDefault="004471A7" w:rsidP="004471A7">
            <w:pPr>
              <w:jc w:val="center"/>
            </w:pPr>
          </w:p>
        </w:tc>
        <w:tc>
          <w:tcPr>
            <w:tcW w:w="3220" w:type="dxa"/>
            <w:vMerge/>
          </w:tcPr>
          <w:p w:rsidR="00BF157D" w:rsidRDefault="00BF157D" w:rsidP="00BF157D"/>
        </w:tc>
      </w:tr>
    </w:tbl>
    <w:p w:rsidR="002824B3" w:rsidRPr="00E93CC5" w:rsidRDefault="002824B3" w:rsidP="00E93CC5">
      <w:pPr>
        <w:pStyle w:val="NoSpacing"/>
        <w:jc w:val="center"/>
        <w:rPr>
          <w:b/>
          <w:color w:val="E36C0A" w:themeColor="accent6" w:themeShade="BF"/>
          <w:sz w:val="18"/>
        </w:rPr>
      </w:pPr>
      <w:r w:rsidRPr="00E93CC5">
        <w:rPr>
          <w:b/>
          <w:color w:val="E36C0A" w:themeColor="accent6" w:themeShade="BF"/>
          <w:sz w:val="18"/>
        </w:rPr>
        <w:t xml:space="preserve">At least half of </w:t>
      </w:r>
      <w:r w:rsidR="00E93CC5" w:rsidRPr="00E93CC5">
        <w:rPr>
          <w:b/>
          <w:color w:val="E36C0A" w:themeColor="accent6" w:themeShade="BF"/>
          <w:sz w:val="18"/>
        </w:rPr>
        <w:t>the major (13 cr.)</w:t>
      </w:r>
      <w:r w:rsidRPr="00E93CC5">
        <w:rPr>
          <w:b/>
          <w:color w:val="E36C0A" w:themeColor="accent6" w:themeShade="BF"/>
          <w:sz w:val="18"/>
        </w:rPr>
        <w:t xml:space="preserve"> </w:t>
      </w:r>
      <w:r w:rsidR="00E93CC5" w:rsidRPr="00E93CC5">
        <w:rPr>
          <w:b/>
          <w:color w:val="E36C0A" w:themeColor="accent6" w:themeShade="BF"/>
          <w:sz w:val="18"/>
        </w:rPr>
        <w:t>must be</w:t>
      </w:r>
      <w:r w:rsidRPr="00E93CC5">
        <w:rPr>
          <w:b/>
          <w:color w:val="E36C0A" w:themeColor="accent6" w:themeShade="BF"/>
          <w:sz w:val="18"/>
        </w:rPr>
        <w:t xml:space="preserve"> taken at Hunter.</w:t>
      </w:r>
    </w:p>
    <w:p w:rsidR="002824B3" w:rsidRPr="00B53E2F" w:rsidRDefault="00336F46" w:rsidP="00336F46">
      <w:pPr>
        <w:pStyle w:val="NoSpacing"/>
        <w:numPr>
          <w:ilvl w:val="0"/>
          <w:numId w:val="5"/>
        </w:numPr>
        <w:ind w:left="0" w:firstLine="360"/>
        <w:rPr>
          <w:sz w:val="18"/>
        </w:rPr>
      </w:pPr>
      <w:r w:rsidRPr="00B53E2F">
        <w:rPr>
          <w:sz w:val="18"/>
        </w:rPr>
        <w:t xml:space="preserve">Once your </w:t>
      </w:r>
      <w:r w:rsidR="003E6FDC">
        <w:rPr>
          <w:sz w:val="18"/>
        </w:rPr>
        <w:t>P</w:t>
      </w:r>
      <w:r w:rsidRPr="00B53E2F">
        <w:rPr>
          <w:sz w:val="18"/>
        </w:rPr>
        <w:t>sychology majo</w:t>
      </w:r>
      <w:r w:rsidR="00B53E2F" w:rsidRPr="00B53E2F">
        <w:rPr>
          <w:sz w:val="18"/>
        </w:rPr>
        <w:t>r is declared, you cannot take P</w:t>
      </w:r>
      <w:r w:rsidRPr="00B53E2F">
        <w:rPr>
          <w:sz w:val="18"/>
        </w:rPr>
        <w:t>SYCH classes at any other institution</w:t>
      </w:r>
      <w:r w:rsidR="003E6FDC">
        <w:rPr>
          <w:sz w:val="18"/>
        </w:rPr>
        <w:t>.</w:t>
      </w:r>
    </w:p>
    <w:p w:rsidR="00336F46" w:rsidRPr="00B53E2F" w:rsidRDefault="00CD2C93" w:rsidP="00336F46">
      <w:pPr>
        <w:pStyle w:val="NoSpacing"/>
        <w:numPr>
          <w:ilvl w:val="0"/>
          <w:numId w:val="5"/>
        </w:numPr>
        <w:ind w:left="0" w:firstLine="360"/>
        <w:rPr>
          <w:sz w:val="18"/>
        </w:rPr>
      </w:pPr>
      <w:r>
        <w:rPr>
          <w:sz w:val="18"/>
        </w:rPr>
        <w:t>Read below for the g</w:t>
      </w:r>
      <w:r w:rsidR="00E93CC5">
        <w:rPr>
          <w:sz w:val="18"/>
        </w:rPr>
        <w:t xml:space="preserve">eneral policies and procedures of the </w:t>
      </w:r>
      <w:r>
        <w:rPr>
          <w:sz w:val="18"/>
        </w:rPr>
        <w:t>program</w:t>
      </w:r>
      <w:r w:rsidR="00D92275">
        <w:rPr>
          <w:sz w:val="18"/>
        </w:rPr>
        <w:t>:</w:t>
      </w:r>
    </w:p>
    <w:p w:rsidR="00E93CC5" w:rsidRDefault="00BF157D" w:rsidP="00E93CC5">
      <w:pPr>
        <w:pStyle w:val="NoSpacing"/>
        <w:numPr>
          <w:ilvl w:val="0"/>
          <w:numId w:val="6"/>
        </w:numPr>
        <w:ind w:hanging="90"/>
        <w:rPr>
          <w:sz w:val="18"/>
        </w:rPr>
      </w:pPr>
      <w:r>
        <w:rPr>
          <w:sz w:val="18"/>
        </w:rPr>
        <w:t xml:space="preserve">To </w:t>
      </w:r>
      <w:r w:rsidRPr="00BF157D">
        <w:rPr>
          <w:b/>
          <w:sz w:val="18"/>
        </w:rPr>
        <w:t>declare</w:t>
      </w:r>
      <w:r w:rsidRPr="00B53E2F">
        <w:rPr>
          <w:sz w:val="18"/>
        </w:rPr>
        <w:t xml:space="preserve"> </w:t>
      </w:r>
      <w:r>
        <w:rPr>
          <w:sz w:val="18"/>
        </w:rPr>
        <w:t>a</w:t>
      </w:r>
      <w:r w:rsidRPr="00B53E2F">
        <w:rPr>
          <w:sz w:val="18"/>
        </w:rPr>
        <w:t xml:space="preserve"> PSYCH Major:</w:t>
      </w:r>
    </w:p>
    <w:p w:rsidR="00E93CC5" w:rsidRDefault="00BF157D" w:rsidP="00E93CC5">
      <w:pPr>
        <w:pStyle w:val="NoSpacing"/>
        <w:numPr>
          <w:ilvl w:val="0"/>
          <w:numId w:val="14"/>
        </w:numPr>
        <w:rPr>
          <w:sz w:val="18"/>
        </w:rPr>
      </w:pPr>
      <w:r w:rsidRPr="00E93CC5">
        <w:rPr>
          <w:sz w:val="18"/>
        </w:rPr>
        <w:t xml:space="preserve">You must have 6 credits in </w:t>
      </w:r>
      <w:r w:rsidR="00E93CC5">
        <w:rPr>
          <w:sz w:val="18"/>
        </w:rPr>
        <w:t>Psychology</w:t>
      </w:r>
      <w:r w:rsidRPr="00E93CC5">
        <w:rPr>
          <w:sz w:val="18"/>
        </w:rPr>
        <w:t xml:space="preserve"> (</w:t>
      </w:r>
      <w:r w:rsidR="00E93CC5">
        <w:rPr>
          <w:sz w:val="18"/>
        </w:rPr>
        <w:t>including introduction to PSYCH</w:t>
      </w:r>
      <w:r w:rsidRPr="00E93CC5">
        <w:rPr>
          <w:sz w:val="18"/>
        </w:rPr>
        <w:t xml:space="preserve">) completed with a </w:t>
      </w:r>
      <w:r w:rsidRPr="00E93CC5">
        <w:rPr>
          <w:b/>
          <w:sz w:val="18"/>
        </w:rPr>
        <w:t>B-</w:t>
      </w:r>
      <w:r w:rsidRPr="00E93CC5">
        <w:rPr>
          <w:sz w:val="18"/>
        </w:rPr>
        <w:t xml:space="preserve"> or better </w:t>
      </w:r>
      <w:r w:rsidRPr="00E93CC5">
        <w:rPr>
          <w:b/>
          <w:sz w:val="18"/>
        </w:rPr>
        <w:t>and</w:t>
      </w:r>
      <w:r w:rsidRPr="00E93CC5">
        <w:rPr>
          <w:sz w:val="18"/>
        </w:rPr>
        <w:t xml:space="preserve"> an </w:t>
      </w:r>
      <w:r w:rsidRPr="00E93CC5">
        <w:rPr>
          <w:b/>
          <w:sz w:val="18"/>
        </w:rPr>
        <w:t>overall GPA of at least 2.0</w:t>
      </w:r>
      <w:r w:rsidRPr="00E93CC5">
        <w:rPr>
          <w:sz w:val="18"/>
        </w:rPr>
        <w:t>.</w:t>
      </w:r>
    </w:p>
    <w:p w:rsidR="00E93CC5" w:rsidRPr="00E93CC5" w:rsidRDefault="00336F46" w:rsidP="00E93CC5">
      <w:pPr>
        <w:pStyle w:val="NoSpacing"/>
        <w:numPr>
          <w:ilvl w:val="0"/>
          <w:numId w:val="14"/>
        </w:numPr>
        <w:rPr>
          <w:sz w:val="18"/>
        </w:rPr>
      </w:pPr>
      <w:r w:rsidRPr="00E93CC5">
        <w:rPr>
          <w:sz w:val="18"/>
        </w:rPr>
        <w:t>Fulfill the Math Requirement</w:t>
      </w:r>
      <w:r w:rsidR="00E93CC5">
        <w:rPr>
          <w:sz w:val="18"/>
        </w:rPr>
        <w:t xml:space="preserve"> by completing the following</w:t>
      </w:r>
      <w:r w:rsidRPr="00E93CC5">
        <w:rPr>
          <w:sz w:val="18"/>
        </w:rPr>
        <w:t>:</w:t>
      </w:r>
    </w:p>
    <w:p w:rsidR="00E93CC5" w:rsidRDefault="00336F46" w:rsidP="00E93CC5">
      <w:pPr>
        <w:pStyle w:val="NoSpacing"/>
        <w:numPr>
          <w:ilvl w:val="1"/>
          <w:numId w:val="14"/>
        </w:numPr>
        <w:rPr>
          <w:sz w:val="18"/>
        </w:rPr>
      </w:pPr>
      <w:r w:rsidRPr="00E93CC5">
        <w:rPr>
          <w:b/>
          <w:sz w:val="18"/>
        </w:rPr>
        <w:t>STAT 113</w:t>
      </w:r>
      <w:r w:rsidR="00E93CC5" w:rsidRPr="00E93CC5">
        <w:rPr>
          <w:b/>
          <w:sz w:val="18"/>
        </w:rPr>
        <w:t xml:space="preserve"> </w:t>
      </w:r>
      <w:r w:rsidR="00E93CC5" w:rsidRPr="00D059A5">
        <w:rPr>
          <w:b/>
          <w:i/>
          <w:sz w:val="18"/>
        </w:rPr>
        <w:t>or</w:t>
      </w:r>
      <w:r w:rsidR="00E93CC5" w:rsidRPr="00E93CC5">
        <w:rPr>
          <w:b/>
          <w:sz w:val="18"/>
        </w:rPr>
        <w:t xml:space="preserve"> MATH 125</w:t>
      </w:r>
      <w:r w:rsidR="00E93CC5">
        <w:rPr>
          <w:sz w:val="18"/>
        </w:rPr>
        <w:t xml:space="preserve"> with a grade </w:t>
      </w:r>
      <w:r w:rsidR="00E93CC5" w:rsidRPr="00E93CC5">
        <w:rPr>
          <w:b/>
          <w:sz w:val="18"/>
        </w:rPr>
        <w:t>C or better</w:t>
      </w:r>
      <w:r w:rsidR="00E93CC5">
        <w:rPr>
          <w:sz w:val="18"/>
        </w:rPr>
        <w:t>.</w:t>
      </w:r>
    </w:p>
    <w:p w:rsidR="00336F46" w:rsidRPr="00E93CC5" w:rsidRDefault="00E93CC5" w:rsidP="00E93CC5">
      <w:pPr>
        <w:pStyle w:val="NoSpacing"/>
        <w:numPr>
          <w:ilvl w:val="1"/>
          <w:numId w:val="14"/>
        </w:numPr>
        <w:rPr>
          <w:sz w:val="18"/>
        </w:rPr>
      </w:pPr>
      <w:proofErr w:type="gramStart"/>
      <w:r w:rsidRPr="00D059A5">
        <w:rPr>
          <w:b/>
          <w:i/>
          <w:sz w:val="18"/>
        </w:rPr>
        <w:t>O</w:t>
      </w:r>
      <w:r w:rsidR="00336F46" w:rsidRPr="00D059A5">
        <w:rPr>
          <w:b/>
          <w:i/>
          <w:sz w:val="18"/>
        </w:rPr>
        <w:t>r</w:t>
      </w:r>
      <w:proofErr w:type="gramEnd"/>
      <w:r w:rsidR="00336F46" w:rsidRPr="00E93CC5">
        <w:rPr>
          <w:sz w:val="18"/>
        </w:rPr>
        <w:t xml:space="preserve"> </w:t>
      </w:r>
      <w:r w:rsidR="00D059A5">
        <w:rPr>
          <w:b/>
          <w:sz w:val="18"/>
        </w:rPr>
        <w:t>p</w:t>
      </w:r>
      <w:r w:rsidR="00336F46" w:rsidRPr="00E93CC5">
        <w:rPr>
          <w:b/>
          <w:sz w:val="18"/>
        </w:rPr>
        <w:t xml:space="preserve">assing scores on </w:t>
      </w:r>
      <w:r w:rsidR="00336F46" w:rsidRPr="00E93CC5">
        <w:rPr>
          <w:sz w:val="18"/>
        </w:rPr>
        <w:t>the CUNY Mathematics Skills Assessment Test.</w:t>
      </w:r>
    </w:p>
    <w:p w:rsidR="002B05A2" w:rsidRDefault="002B05A2" w:rsidP="00B53E2F">
      <w:pPr>
        <w:pStyle w:val="NoSpacing"/>
        <w:numPr>
          <w:ilvl w:val="0"/>
          <w:numId w:val="6"/>
        </w:numPr>
        <w:ind w:left="1440" w:hanging="450"/>
        <w:rPr>
          <w:sz w:val="18"/>
        </w:rPr>
      </w:pPr>
      <w:r w:rsidRPr="00E93CC5">
        <w:rPr>
          <w:b/>
          <w:sz w:val="18"/>
        </w:rPr>
        <w:t>PSYCH 201, 348, 395, 396/398</w:t>
      </w:r>
      <w:r>
        <w:rPr>
          <w:sz w:val="18"/>
        </w:rPr>
        <w:t xml:space="preserve"> will </w:t>
      </w:r>
      <w:r w:rsidRPr="002B05A2">
        <w:rPr>
          <w:b/>
          <w:i/>
          <w:sz w:val="18"/>
        </w:rPr>
        <w:t>only</w:t>
      </w:r>
      <w:r>
        <w:rPr>
          <w:sz w:val="18"/>
        </w:rPr>
        <w:t xml:space="preserve"> satisfy electives. </w:t>
      </w:r>
    </w:p>
    <w:p w:rsidR="001E57EC" w:rsidRPr="00D059A5" w:rsidRDefault="00D059A5" w:rsidP="00D059A5">
      <w:pPr>
        <w:pStyle w:val="NoSpacing"/>
        <w:numPr>
          <w:ilvl w:val="0"/>
          <w:numId w:val="6"/>
        </w:numPr>
        <w:ind w:left="1440" w:hanging="450"/>
        <w:rPr>
          <w:sz w:val="18"/>
        </w:rPr>
      </w:pPr>
      <w:r>
        <w:rPr>
          <w:sz w:val="18"/>
        </w:rPr>
        <w:t xml:space="preserve">Students </w:t>
      </w:r>
      <w:proofErr w:type="gramStart"/>
      <w:r>
        <w:rPr>
          <w:sz w:val="18"/>
        </w:rPr>
        <w:t xml:space="preserve">are </w:t>
      </w:r>
      <w:r w:rsidR="002B05A2">
        <w:rPr>
          <w:sz w:val="18"/>
        </w:rPr>
        <w:t>not</w:t>
      </w:r>
      <w:r>
        <w:rPr>
          <w:sz w:val="18"/>
        </w:rPr>
        <w:t xml:space="preserve"> allowed</w:t>
      </w:r>
      <w:proofErr w:type="gramEnd"/>
      <w:r w:rsidR="002B05A2">
        <w:rPr>
          <w:sz w:val="18"/>
        </w:rPr>
        <w:t xml:space="preserve"> take an</w:t>
      </w:r>
      <w:r>
        <w:rPr>
          <w:sz w:val="18"/>
        </w:rPr>
        <w:t>y</w:t>
      </w:r>
      <w:r w:rsidR="002B05A2">
        <w:rPr>
          <w:sz w:val="18"/>
        </w:rPr>
        <w:t xml:space="preserve"> upper-level course</w:t>
      </w:r>
      <w:r>
        <w:rPr>
          <w:sz w:val="18"/>
        </w:rPr>
        <w:t>s</w:t>
      </w:r>
      <w:r w:rsidR="002B05A2">
        <w:rPr>
          <w:sz w:val="18"/>
        </w:rPr>
        <w:t xml:space="preserve"> without fulfilling</w:t>
      </w:r>
      <w:r>
        <w:rPr>
          <w:sz w:val="18"/>
        </w:rPr>
        <w:t xml:space="preserve"> its pre-requisites. </w:t>
      </w:r>
      <w:r w:rsidRPr="00D059A5">
        <w:rPr>
          <w:sz w:val="18"/>
        </w:rPr>
        <w:t>For example,</w:t>
      </w:r>
      <w:r w:rsidR="002B05A2" w:rsidRPr="00D059A5">
        <w:rPr>
          <w:sz w:val="18"/>
        </w:rPr>
        <w:t xml:space="preserve"> PSYCH 248 and 250 </w:t>
      </w:r>
      <w:proofErr w:type="gramStart"/>
      <w:r w:rsidRPr="00D059A5">
        <w:rPr>
          <w:sz w:val="18"/>
        </w:rPr>
        <w:t>cannot</w:t>
      </w:r>
      <w:r w:rsidR="002B05A2" w:rsidRPr="00D059A5">
        <w:rPr>
          <w:sz w:val="18"/>
        </w:rPr>
        <w:t xml:space="preserve"> be taken</w:t>
      </w:r>
      <w:proofErr w:type="gramEnd"/>
      <w:r w:rsidR="002B05A2" w:rsidRPr="00D059A5">
        <w:rPr>
          <w:sz w:val="18"/>
        </w:rPr>
        <w:t xml:space="preserve"> in the same </w:t>
      </w:r>
      <w:r w:rsidRPr="00D059A5">
        <w:rPr>
          <w:sz w:val="18"/>
        </w:rPr>
        <w:t>semester,</w:t>
      </w:r>
      <w:r w:rsidR="002B05A2" w:rsidRPr="00D059A5">
        <w:rPr>
          <w:sz w:val="18"/>
        </w:rPr>
        <w:t xml:space="preserve"> as 248 is the pre-requisite to 250. </w:t>
      </w:r>
      <w:r w:rsidRPr="00D059A5">
        <w:rPr>
          <w:sz w:val="18"/>
        </w:rPr>
        <w:t>**</w:t>
      </w:r>
      <w:r w:rsidRPr="00D059A5">
        <w:rPr>
          <w:b/>
          <w:sz w:val="18"/>
        </w:rPr>
        <w:t>NO EXCEPTIONS**</w:t>
      </w:r>
    </w:p>
    <w:sectPr w:rsidR="001E57EC" w:rsidRPr="00D059A5" w:rsidSect="003E6F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C0" w:rsidRDefault="009D72C0" w:rsidP="00B53E2F">
      <w:pPr>
        <w:spacing w:after="0" w:line="240" w:lineRule="auto"/>
      </w:pPr>
      <w:r>
        <w:separator/>
      </w:r>
    </w:p>
  </w:endnote>
  <w:endnote w:type="continuationSeparator" w:id="0">
    <w:p w:rsidR="009D72C0" w:rsidRDefault="009D72C0" w:rsidP="00B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FC" w:rsidRPr="002B05A2" w:rsidRDefault="00EE3EFC" w:rsidP="002B05A2">
    <w:pPr>
      <w:pStyle w:val="NoSpacing"/>
      <w:rPr>
        <w:b/>
        <w:sz w:val="18"/>
      </w:rPr>
    </w:pPr>
    <w:r w:rsidRPr="003E6FDC">
      <w:rPr>
        <w:b/>
        <w:sz w:val="18"/>
        <w:u w:val="single"/>
      </w:rPr>
      <w:t>Notes</w:t>
    </w:r>
    <w:r>
      <w:rPr>
        <w:b/>
        <w:sz w:val="18"/>
      </w:rPr>
      <w:t>: Last Update: April 13, 2017</w:t>
    </w:r>
  </w:p>
  <w:p w:rsidR="00EE3EFC" w:rsidRDefault="00EE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C0" w:rsidRDefault="009D72C0" w:rsidP="00B53E2F">
      <w:pPr>
        <w:spacing w:after="0" w:line="240" w:lineRule="auto"/>
      </w:pPr>
      <w:r>
        <w:separator/>
      </w:r>
    </w:p>
  </w:footnote>
  <w:footnote w:type="continuationSeparator" w:id="0">
    <w:p w:rsidR="009D72C0" w:rsidRDefault="009D72C0" w:rsidP="00B5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FC" w:rsidRPr="00B8020A" w:rsidRDefault="00EE3EFC" w:rsidP="00CD2C93">
    <w:pPr>
      <w:pStyle w:val="Header"/>
      <w:jc w:val="center"/>
      <w:rPr>
        <w:b/>
        <w:sz w:val="28"/>
      </w:rPr>
    </w:pPr>
    <w:r w:rsidRPr="00B8020A">
      <w:rPr>
        <w:b/>
        <w:sz w:val="28"/>
      </w:rPr>
      <w:t>Psychology Major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5pt;height:10.85pt" o:bullet="t">
        <v:imagedata r:id="rId1" o:title="msoF3A6"/>
      </v:shape>
    </w:pict>
  </w:numPicBullet>
  <w:abstractNum w:abstractNumId="0" w15:restartNumberingAfterBreak="0">
    <w:nsid w:val="08207525"/>
    <w:multiLevelType w:val="hybridMultilevel"/>
    <w:tmpl w:val="DA9A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9BE"/>
    <w:multiLevelType w:val="hybridMultilevel"/>
    <w:tmpl w:val="EC5C0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0874"/>
    <w:multiLevelType w:val="hybridMultilevel"/>
    <w:tmpl w:val="D51E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760ED"/>
    <w:multiLevelType w:val="hybridMultilevel"/>
    <w:tmpl w:val="76203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71C1"/>
    <w:multiLevelType w:val="hybridMultilevel"/>
    <w:tmpl w:val="55AA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99A"/>
    <w:multiLevelType w:val="hybridMultilevel"/>
    <w:tmpl w:val="9BA6A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7A0"/>
    <w:multiLevelType w:val="hybridMultilevel"/>
    <w:tmpl w:val="BE1A9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F2878"/>
    <w:multiLevelType w:val="hybridMultilevel"/>
    <w:tmpl w:val="B5366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221607"/>
    <w:multiLevelType w:val="hybridMultilevel"/>
    <w:tmpl w:val="8C9CC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96F12"/>
    <w:multiLevelType w:val="hybridMultilevel"/>
    <w:tmpl w:val="5988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0070"/>
    <w:multiLevelType w:val="hybridMultilevel"/>
    <w:tmpl w:val="EA9E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7603F"/>
    <w:multiLevelType w:val="hybridMultilevel"/>
    <w:tmpl w:val="C8923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E19D2"/>
    <w:multiLevelType w:val="hybridMultilevel"/>
    <w:tmpl w:val="A614B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6A67"/>
    <w:multiLevelType w:val="hybridMultilevel"/>
    <w:tmpl w:val="C62A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F71D5"/>
    <w:multiLevelType w:val="hybridMultilevel"/>
    <w:tmpl w:val="7C26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46"/>
    <w:rsid w:val="0002047E"/>
    <w:rsid w:val="000844E0"/>
    <w:rsid w:val="000B2081"/>
    <w:rsid w:val="00115F87"/>
    <w:rsid w:val="00124C3F"/>
    <w:rsid w:val="00157892"/>
    <w:rsid w:val="00173C7D"/>
    <w:rsid w:val="001E57EC"/>
    <w:rsid w:val="00221240"/>
    <w:rsid w:val="002302DB"/>
    <w:rsid w:val="00232CF6"/>
    <w:rsid w:val="002536E5"/>
    <w:rsid w:val="00253967"/>
    <w:rsid w:val="00267DDE"/>
    <w:rsid w:val="002824B3"/>
    <w:rsid w:val="002B05A2"/>
    <w:rsid w:val="002B5836"/>
    <w:rsid w:val="002F6274"/>
    <w:rsid w:val="00336F46"/>
    <w:rsid w:val="003A65F6"/>
    <w:rsid w:val="003E6FDC"/>
    <w:rsid w:val="003F1993"/>
    <w:rsid w:val="00404484"/>
    <w:rsid w:val="00427AE2"/>
    <w:rsid w:val="004471A7"/>
    <w:rsid w:val="0046576B"/>
    <w:rsid w:val="00470AED"/>
    <w:rsid w:val="00494CB4"/>
    <w:rsid w:val="005517ED"/>
    <w:rsid w:val="00577DE2"/>
    <w:rsid w:val="005B2812"/>
    <w:rsid w:val="005F07D3"/>
    <w:rsid w:val="006475F2"/>
    <w:rsid w:val="006503A1"/>
    <w:rsid w:val="0065417D"/>
    <w:rsid w:val="00691D83"/>
    <w:rsid w:val="0069397A"/>
    <w:rsid w:val="00697EAF"/>
    <w:rsid w:val="00773730"/>
    <w:rsid w:val="00802D6E"/>
    <w:rsid w:val="008D2F37"/>
    <w:rsid w:val="008D7253"/>
    <w:rsid w:val="008E2C3A"/>
    <w:rsid w:val="009279C9"/>
    <w:rsid w:val="009D72C0"/>
    <w:rsid w:val="009F4F64"/>
    <w:rsid w:val="00A00AD9"/>
    <w:rsid w:val="00A11D59"/>
    <w:rsid w:val="00A45298"/>
    <w:rsid w:val="00A62623"/>
    <w:rsid w:val="00AA6BDA"/>
    <w:rsid w:val="00B06C5B"/>
    <w:rsid w:val="00B519E6"/>
    <w:rsid w:val="00B51E79"/>
    <w:rsid w:val="00B53E2F"/>
    <w:rsid w:val="00B74639"/>
    <w:rsid w:val="00B76446"/>
    <w:rsid w:val="00B8020A"/>
    <w:rsid w:val="00BF157D"/>
    <w:rsid w:val="00BF2F71"/>
    <w:rsid w:val="00C7355D"/>
    <w:rsid w:val="00C94547"/>
    <w:rsid w:val="00CB15CE"/>
    <w:rsid w:val="00CC5FB0"/>
    <w:rsid w:val="00CD2C93"/>
    <w:rsid w:val="00CE03D6"/>
    <w:rsid w:val="00D059A5"/>
    <w:rsid w:val="00D83F83"/>
    <w:rsid w:val="00D87B97"/>
    <w:rsid w:val="00D92275"/>
    <w:rsid w:val="00DF5A2F"/>
    <w:rsid w:val="00E360EA"/>
    <w:rsid w:val="00E93CC5"/>
    <w:rsid w:val="00E97CA7"/>
    <w:rsid w:val="00EC30D7"/>
    <w:rsid w:val="00E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BAAEB4-BBB0-45CA-9E3F-37C5B11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F46"/>
    <w:pPr>
      <w:ind w:left="720"/>
      <w:contextualSpacing/>
    </w:pPr>
  </w:style>
  <w:style w:type="paragraph" w:styleId="NoSpacing">
    <w:name w:val="No Spacing"/>
    <w:uiPriority w:val="1"/>
    <w:qFormat/>
    <w:rsid w:val="00336F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2F"/>
  </w:style>
  <w:style w:type="paragraph" w:styleId="Footer">
    <w:name w:val="footer"/>
    <w:basedOn w:val="Normal"/>
    <w:link w:val="FooterChar"/>
    <w:uiPriority w:val="99"/>
    <w:unhideWhenUsed/>
    <w:rsid w:val="00B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EAF5-3DBB-466E-AD4B-72DA6F38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Maceo</dc:creator>
  <cp:keywords/>
  <dc:description/>
  <cp:lastModifiedBy>Eli Rodriguez</cp:lastModifiedBy>
  <cp:revision>20</cp:revision>
  <cp:lastPrinted>2017-09-06T14:34:00Z</cp:lastPrinted>
  <dcterms:created xsi:type="dcterms:W3CDTF">2017-04-13T13:53:00Z</dcterms:created>
  <dcterms:modified xsi:type="dcterms:W3CDTF">2018-04-18T14:07:00Z</dcterms:modified>
</cp:coreProperties>
</file>