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B5F9" w14:textId="1306FEFC" w:rsidR="00C33C73" w:rsidRDefault="00BA0DF9" w:rsidP="0017398D">
      <w:pPr>
        <w:pBdr>
          <w:bottom w:val="single" w:sz="12" w:space="1" w:color="auto"/>
        </w:pBdr>
        <w:rPr>
          <w:b/>
        </w:rPr>
      </w:pPr>
      <w:r>
        <w:rPr>
          <w:b/>
        </w:rPr>
        <w:t xml:space="preserve">CUNY </w:t>
      </w:r>
      <w:r w:rsidR="0017398D" w:rsidRPr="0017398D">
        <w:rPr>
          <w:b/>
        </w:rPr>
        <w:t xml:space="preserve">Conflict of Interest </w:t>
      </w:r>
      <w:r>
        <w:rPr>
          <w:b/>
        </w:rPr>
        <w:t xml:space="preserve">Disclosure, Oversight and Management </w:t>
      </w:r>
      <w:r w:rsidR="0017398D" w:rsidRPr="0017398D">
        <w:rPr>
          <w:b/>
        </w:rPr>
        <w:t>Procedures</w:t>
      </w:r>
      <w:r w:rsidR="00C0141B">
        <w:rPr>
          <w:b/>
        </w:rPr>
        <w:t xml:space="preserve"> </w:t>
      </w:r>
      <w:proofErr w:type="gramStart"/>
      <w:r w:rsidR="00C0141B">
        <w:rPr>
          <w:b/>
        </w:rPr>
        <w:t>For</w:t>
      </w:r>
      <w:proofErr w:type="gramEnd"/>
      <w:r w:rsidR="00C0141B">
        <w:rPr>
          <w:b/>
        </w:rPr>
        <w:t xml:space="preserve"> Research </w:t>
      </w:r>
      <w:r w:rsidR="00985B0B">
        <w:rPr>
          <w:b/>
        </w:rPr>
        <w:t>NOT</w:t>
      </w:r>
      <w:r w:rsidR="00C0141B">
        <w:rPr>
          <w:b/>
        </w:rPr>
        <w:t xml:space="preserve"> Funded by the Public Health Service</w:t>
      </w:r>
    </w:p>
    <w:p w14:paraId="72F716D4" w14:textId="77777777" w:rsidR="0017398D" w:rsidRDefault="0017398D">
      <w:pPr>
        <w:rPr>
          <w:b/>
        </w:rPr>
      </w:pPr>
    </w:p>
    <w:p w14:paraId="0C33A925" w14:textId="77777777" w:rsidR="00BA0DF9" w:rsidRPr="00BA0DF9" w:rsidRDefault="00BA0DF9" w:rsidP="00570F92">
      <w:pPr>
        <w:pStyle w:val="ListParagraph"/>
        <w:numPr>
          <w:ilvl w:val="0"/>
          <w:numId w:val="9"/>
        </w:numPr>
        <w:rPr>
          <w:rFonts w:cs="Arial"/>
        </w:rPr>
      </w:pPr>
      <w:r>
        <w:rPr>
          <w:rFonts w:cs="Arial"/>
          <w:b/>
        </w:rPr>
        <w:t>Applicability</w:t>
      </w:r>
    </w:p>
    <w:p w14:paraId="34ECBA19" w14:textId="4FA1AA8F" w:rsidR="00BA0DF9" w:rsidRPr="006E7774" w:rsidRDefault="00BA0DF9" w:rsidP="00BA0DF9">
      <w:pPr>
        <w:pStyle w:val="ListParagraph"/>
        <w:ind w:left="360"/>
        <w:rPr>
          <w:rFonts w:cs="Arial"/>
        </w:rPr>
      </w:pPr>
      <w:r>
        <w:rPr>
          <w:rFonts w:cs="Arial"/>
        </w:rPr>
        <w:t xml:space="preserve">These procedures </w:t>
      </w:r>
      <w:r w:rsidR="006E7774">
        <w:rPr>
          <w:rFonts w:cs="Arial"/>
        </w:rPr>
        <w:t xml:space="preserve">apply to all research at CUNY, </w:t>
      </w:r>
      <w:r w:rsidR="006E7774" w:rsidRPr="00C0141B">
        <w:rPr>
          <w:rFonts w:cs="Arial"/>
          <w:u w:val="single"/>
        </w:rPr>
        <w:t>EXCEPT</w:t>
      </w:r>
      <w:r w:rsidR="006E7774">
        <w:rPr>
          <w:rFonts w:cs="Arial"/>
        </w:rPr>
        <w:t xml:space="preserve"> for research that is funded by means of a grant or cooperative agreement from the Public Health Service (PHS). For </w:t>
      </w:r>
      <w:r w:rsidR="0068742F">
        <w:rPr>
          <w:rFonts w:cs="Arial"/>
        </w:rPr>
        <w:t xml:space="preserve">conflict of interest </w:t>
      </w:r>
      <w:r w:rsidR="008C611F">
        <w:t xml:space="preserve">(COI) </w:t>
      </w:r>
      <w:r w:rsidR="00412490">
        <w:rPr>
          <w:rFonts w:cs="Arial"/>
        </w:rPr>
        <w:t xml:space="preserve">procedures related to </w:t>
      </w:r>
      <w:r w:rsidR="006E7774">
        <w:rPr>
          <w:rFonts w:cs="Arial"/>
        </w:rPr>
        <w:t>PHS funded grants and cooperative agreements</w:t>
      </w:r>
      <w:r w:rsidR="00412490">
        <w:rPr>
          <w:rFonts w:cs="Arial"/>
        </w:rPr>
        <w:t>,</w:t>
      </w:r>
      <w:r w:rsidR="006E7774">
        <w:rPr>
          <w:rFonts w:cs="Arial"/>
        </w:rPr>
        <w:t xml:space="preserve"> please refer to </w:t>
      </w:r>
      <w:hyperlink r:id="rId8" w:history="1">
        <w:r w:rsidR="006E7774" w:rsidRPr="002610C4">
          <w:rPr>
            <w:rStyle w:val="Hyperlink"/>
            <w:rFonts w:cs="Arial"/>
            <w:color w:val="0000FF"/>
          </w:rPr>
          <w:t>CUNY’s Procedures for Complying with 2011 PHS Regulations.</w:t>
        </w:r>
      </w:hyperlink>
    </w:p>
    <w:p w14:paraId="78AC19C2" w14:textId="77777777" w:rsidR="00BA0DF9" w:rsidRDefault="00BA0DF9" w:rsidP="00BA0DF9">
      <w:pPr>
        <w:rPr>
          <w:rFonts w:cs="Arial"/>
        </w:rPr>
      </w:pPr>
    </w:p>
    <w:p w14:paraId="4FA4B12D" w14:textId="0626067A" w:rsidR="00CA3CB7" w:rsidRPr="00570F92" w:rsidRDefault="00CA3CB7" w:rsidP="00570F92">
      <w:pPr>
        <w:pStyle w:val="ListParagraph"/>
        <w:numPr>
          <w:ilvl w:val="0"/>
          <w:numId w:val="9"/>
        </w:numPr>
        <w:rPr>
          <w:rFonts w:cs="Arial"/>
          <w:b/>
        </w:rPr>
      </w:pPr>
      <w:r>
        <w:rPr>
          <w:rFonts w:cs="Arial"/>
          <w:b/>
        </w:rPr>
        <w:t>Research Defined</w:t>
      </w:r>
    </w:p>
    <w:p w14:paraId="2DC9C349" w14:textId="09CB44A4" w:rsidR="00BA0DF9" w:rsidRDefault="00CA3CB7" w:rsidP="00CA3CB7">
      <w:pPr>
        <w:ind w:left="360"/>
        <w:rPr>
          <w:rFonts w:cs="Arial"/>
        </w:rPr>
      </w:pPr>
      <w:r>
        <w:rPr>
          <w:rFonts w:cs="Arial"/>
        </w:rPr>
        <w:t>For the purposes of these procedures, r</w:t>
      </w:r>
      <w:r w:rsidR="00BA0DF9" w:rsidRPr="00BA0DF9">
        <w:rPr>
          <w:rFonts w:cs="Arial"/>
        </w:rPr>
        <w:t xml:space="preserve">esearch means a systematic experiment, study, evaluation, </w:t>
      </w:r>
      <w:proofErr w:type="gramStart"/>
      <w:r w:rsidR="00BA0DF9" w:rsidRPr="00BA0DF9">
        <w:rPr>
          <w:rFonts w:cs="Arial"/>
        </w:rPr>
        <w:t>demonstration</w:t>
      </w:r>
      <w:proofErr w:type="gramEnd"/>
      <w:r w:rsidR="00BA0DF9" w:rsidRPr="00BA0DF9">
        <w:rPr>
          <w:rFonts w:cs="Arial"/>
        </w:rPr>
        <w:t xml:space="preserve"> or survey, in any academic field, designed to develop or contribute to general knowledge (basic research) or specific knowledge (applied research) by establishing, discovering, developing, elucidating or confirming information about, or the underlying mechanism relating to, causes, functions or effects.</w:t>
      </w:r>
    </w:p>
    <w:p w14:paraId="5615058B" w14:textId="77777777" w:rsidR="00CA3CB7" w:rsidRDefault="00CA3CB7" w:rsidP="00CA3CB7">
      <w:pPr>
        <w:ind w:left="360"/>
        <w:rPr>
          <w:rFonts w:cs="Arial"/>
        </w:rPr>
      </w:pPr>
    </w:p>
    <w:p w14:paraId="7F8287A6" w14:textId="12FB8F66" w:rsidR="00CA3CB7" w:rsidRPr="00BA0DF9" w:rsidRDefault="00CA3CB7" w:rsidP="00CA3CB7">
      <w:pPr>
        <w:ind w:left="360"/>
        <w:rPr>
          <w:rFonts w:cs="Arial"/>
        </w:rPr>
      </w:pPr>
      <w:r>
        <w:rPr>
          <w:rFonts w:cs="Arial"/>
        </w:rPr>
        <w:t xml:space="preserve">If </w:t>
      </w:r>
      <w:r w:rsidR="00807CF6">
        <w:rPr>
          <w:rFonts w:cs="Arial"/>
        </w:rPr>
        <w:t>an investigator</w:t>
      </w:r>
      <w:r>
        <w:rPr>
          <w:rFonts w:cs="Arial"/>
        </w:rPr>
        <w:t xml:space="preserve"> or a </w:t>
      </w:r>
      <w:r w:rsidR="00807CF6">
        <w:rPr>
          <w:rFonts w:cs="Arial"/>
        </w:rPr>
        <w:t>G</w:t>
      </w:r>
      <w:r>
        <w:rPr>
          <w:rFonts w:cs="Arial"/>
        </w:rPr>
        <w:t xml:space="preserve">rants </w:t>
      </w:r>
      <w:r w:rsidR="00807CF6">
        <w:rPr>
          <w:rFonts w:cs="Arial"/>
        </w:rPr>
        <w:t>O</w:t>
      </w:r>
      <w:r>
        <w:rPr>
          <w:rFonts w:cs="Arial"/>
        </w:rPr>
        <w:t xml:space="preserve">fficer is in doubt regarding whether </w:t>
      </w:r>
      <w:r w:rsidR="00FE3130">
        <w:rPr>
          <w:rFonts w:cs="Arial"/>
        </w:rPr>
        <w:t>an activity constitutes research, the College Conflicts Officer (CCO), in consultation with the college’s Research Integrity Officer (RIO) and the University Director for Research Compliance, will make the final determination.</w:t>
      </w:r>
    </w:p>
    <w:p w14:paraId="305593B9" w14:textId="77777777" w:rsidR="0017398D" w:rsidRDefault="0017398D">
      <w:pPr>
        <w:rPr>
          <w:b/>
        </w:rPr>
      </w:pPr>
    </w:p>
    <w:p w14:paraId="5F95CE49" w14:textId="566C2D2F" w:rsidR="00775C4E" w:rsidRDefault="00775C4E" w:rsidP="00775C4E">
      <w:pPr>
        <w:pStyle w:val="ListParagraph"/>
        <w:numPr>
          <w:ilvl w:val="0"/>
          <w:numId w:val="9"/>
        </w:numPr>
        <w:rPr>
          <w:b/>
        </w:rPr>
      </w:pPr>
      <w:r>
        <w:rPr>
          <w:b/>
        </w:rPr>
        <w:t>Training</w:t>
      </w:r>
    </w:p>
    <w:p w14:paraId="45612813" w14:textId="1D6B867A" w:rsidR="00C93B9A" w:rsidRDefault="00775C4E" w:rsidP="00480025">
      <w:pPr>
        <w:spacing w:before="120"/>
        <w:ind w:left="360"/>
        <w:jc w:val="both"/>
        <w:rPr>
          <w:rFonts w:eastAsia="Times New Roman" w:cs="Times New Roman"/>
        </w:rPr>
      </w:pPr>
      <w:r w:rsidRPr="00775C4E">
        <w:rPr>
          <w:rFonts w:eastAsia="Times New Roman" w:cs="Times New Roman"/>
        </w:rPr>
        <w:t>All CCOs are required to complete the on-line CITI training in conflicts of interest. In addition, the CCO</w:t>
      </w:r>
      <w:r w:rsidR="00807CF6">
        <w:rPr>
          <w:rFonts w:eastAsia="Times New Roman" w:cs="Times New Roman"/>
        </w:rPr>
        <w:t>s</w:t>
      </w:r>
      <w:r>
        <w:rPr>
          <w:rFonts w:eastAsia="Times New Roman" w:cs="Times New Roman"/>
        </w:rPr>
        <w:t xml:space="preserve"> may </w:t>
      </w:r>
      <w:r>
        <w:t>require certain researc</w:t>
      </w:r>
      <w:r w:rsidR="000C7D3F">
        <w:t>hers at their respective college</w:t>
      </w:r>
      <w:r w:rsidR="00807CF6">
        <w:t>s</w:t>
      </w:r>
      <w:r w:rsidR="000C7D3F">
        <w:t xml:space="preserve"> to complete this on-line training</w:t>
      </w:r>
      <w:r>
        <w:t>. Individual training requirements may be based on</w:t>
      </w:r>
      <w:r w:rsidR="00807CF6">
        <w:t xml:space="preserve"> such considerations as</w:t>
      </w:r>
      <w:r>
        <w:t xml:space="preserve"> the nature of an existing conflict; non-compliance with </w:t>
      </w:r>
      <w:r w:rsidR="001012F1">
        <w:t xml:space="preserve">the </w:t>
      </w:r>
      <w:r>
        <w:t>CU</w:t>
      </w:r>
      <w:r w:rsidR="0068742F">
        <w:t>NY</w:t>
      </w:r>
      <w:r>
        <w:t xml:space="preserve"> Conflict of Interest Policy</w:t>
      </w:r>
      <w:r w:rsidR="001012F1">
        <w:t xml:space="preserve"> or other CUNY policies</w:t>
      </w:r>
      <w:r>
        <w:t xml:space="preserve">; non-compliance with a </w:t>
      </w:r>
      <w:proofErr w:type="gramStart"/>
      <w:r w:rsidR="0068742F">
        <w:t>c</w:t>
      </w:r>
      <w:r>
        <w:t xml:space="preserve">onflict of </w:t>
      </w:r>
      <w:r w:rsidR="0068742F">
        <w:t>i</w:t>
      </w:r>
      <w:r>
        <w:t>nterest</w:t>
      </w:r>
      <w:proofErr w:type="gramEnd"/>
      <w:r w:rsidR="0068742F">
        <w:t xml:space="preserve"> </w:t>
      </w:r>
      <w:r>
        <w:t>management plan</w:t>
      </w:r>
      <w:r w:rsidR="001012F1">
        <w:t>; or non-compliance with applicable laws and regulations or sponsor requirements</w:t>
      </w:r>
      <w:r>
        <w:t xml:space="preserve">. </w:t>
      </w:r>
      <w:r w:rsidR="00C1314F">
        <w:t xml:space="preserve"> </w:t>
      </w:r>
      <w:r w:rsidR="00C93B9A">
        <w:t>Training is valid for</w:t>
      </w:r>
      <w:r w:rsidR="00C1314F">
        <w:rPr>
          <w:rFonts w:eastAsia="Times New Roman" w:cs="Times New Roman"/>
        </w:rPr>
        <w:t xml:space="preserve"> four years</w:t>
      </w:r>
      <w:r>
        <w:rPr>
          <w:rFonts w:eastAsia="Times New Roman" w:cs="Times New Roman"/>
        </w:rPr>
        <w:t xml:space="preserve">. Detailed requirements and instructions are available at </w:t>
      </w:r>
      <w:hyperlink r:id="rId9" w:history="1">
        <w:r w:rsidR="00480025" w:rsidRPr="00A620AE">
          <w:rPr>
            <w:rStyle w:val="Hyperlink"/>
            <w:rFonts w:eastAsia="Times New Roman" w:cs="Times New Roman"/>
          </w:rPr>
          <w:t>http://www.cuny.edu/research/research-compliance/training-education/citi-training/</w:t>
        </w:r>
      </w:hyperlink>
      <w:r w:rsidR="00480025">
        <w:rPr>
          <w:rFonts w:eastAsia="Times New Roman" w:cs="Times New Roman"/>
        </w:rPr>
        <w:t>.</w:t>
      </w:r>
    </w:p>
    <w:p w14:paraId="18707290" w14:textId="77777777" w:rsidR="00480025" w:rsidRDefault="00480025" w:rsidP="00C93B9A">
      <w:pPr>
        <w:spacing w:before="120"/>
        <w:ind w:left="360"/>
        <w:jc w:val="both"/>
        <w:rPr>
          <w:rFonts w:eastAsia="Times New Roman" w:cs="Times New Roman"/>
        </w:rPr>
      </w:pPr>
    </w:p>
    <w:p w14:paraId="6BBCBF3C" w14:textId="41B72F73" w:rsidR="00CC09F7" w:rsidRPr="00842FD3" w:rsidRDefault="00CC09F7" w:rsidP="00CC09F7">
      <w:pPr>
        <w:pStyle w:val="ListParagraph"/>
        <w:numPr>
          <w:ilvl w:val="0"/>
          <w:numId w:val="9"/>
        </w:numPr>
        <w:rPr>
          <w:b/>
        </w:rPr>
      </w:pPr>
      <w:r w:rsidRPr="00842FD3">
        <w:rPr>
          <w:b/>
        </w:rPr>
        <w:t xml:space="preserve">Disclosure </w:t>
      </w:r>
    </w:p>
    <w:p w14:paraId="108E7944" w14:textId="476CD157" w:rsidR="0068742F" w:rsidRDefault="00C0141B" w:rsidP="0068742F">
      <w:pPr>
        <w:pStyle w:val="ListParagraph"/>
        <w:ind w:left="360"/>
        <w:jc w:val="both"/>
      </w:pPr>
      <w:r>
        <w:t>Each inves</w:t>
      </w:r>
      <w:r w:rsidR="002610C4">
        <w:t>tigator (as defined in section 7</w:t>
      </w:r>
      <w:r>
        <w:t xml:space="preserve">.14 of the </w:t>
      </w:r>
      <w:hyperlink r:id="rId10" w:history="1">
        <w:r w:rsidRPr="0068742F">
          <w:rPr>
            <w:rStyle w:val="Hyperlink"/>
          </w:rPr>
          <w:t>CUNY Conflict of Interest Policy</w:t>
        </w:r>
      </w:hyperlink>
      <w:r>
        <w:t xml:space="preserve">) must complete the </w:t>
      </w:r>
      <w:hyperlink r:id="rId11" w:history="1">
        <w:r w:rsidR="00842FD3" w:rsidRPr="0068742F">
          <w:rPr>
            <w:rStyle w:val="Hyperlink"/>
          </w:rPr>
          <w:t xml:space="preserve">CUNY </w:t>
        </w:r>
        <w:r w:rsidR="00821A68" w:rsidRPr="0068742F">
          <w:rPr>
            <w:rStyle w:val="Hyperlink"/>
          </w:rPr>
          <w:t xml:space="preserve">Significant Financial Interest </w:t>
        </w:r>
        <w:r w:rsidR="008D7A75">
          <w:rPr>
            <w:rStyle w:val="Hyperlink"/>
          </w:rPr>
          <w:t xml:space="preserve">(SFI) </w:t>
        </w:r>
        <w:r w:rsidR="00821A68" w:rsidRPr="0068742F">
          <w:rPr>
            <w:rStyle w:val="Hyperlink"/>
          </w:rPr>
          <w:t>Disclosure Form</w:t>
        </w:r>
      </w:hyperlink>
      <w:r>
        <w:t xml:space="preserve"> for Research Projects Not Funded by the Public Health Service</w:t>
      </w:r>
      <w:r w:rsidR="00442082">
        <w:t xml:space="preserve"> </w:t>
      </w:r>
      <w:r w:rsidR="00821A68">
        <w:t>and submit</w:t>
      </w:r>
      <w:r w:rsidR="00442082">
        <w:t xml:space="preserve"> it</w:t>
      </w:r>
      <w:r w:rsidR="00821A68">
        <w:t xml:space="preserve"> to </w:t>
      </w:r>
      <w:r w:rsidR="0068742F">
        <w:t>the</w:t>
      </w:r>
      <w:r w:rsidR="00821A68">
        <w:t xml:space="preserve"> college </w:t>
      </w:r>
      <w:r w:rsidR="00442082">
        <w:t>G</w:t>
      </w:r>
      <w:r w:rsidR="00821A68">
        <w:t xml:space="preserve">rants </w:t>
      </w:r>
      <w:r w:rsidR="00442082">
        <w:t>O</w:t>
      </w:r>
      <w:r w:rsidR="00821A68">
        <w:t>fficer and CCO</w:t>
      </w:r>
      <w:r w:rsidR="0068742F">
        <w:t xml:space="preserve"> at the time that the Principal Investigator submits a grant proposal</w:t>
      </w:r>
      <w:r w:rsidR="00442082">
        <w:t xml:space="preserve"> or application, and each investigator must submit and updated Form to the college Grants Officer and CCO at the time the Principal Investigator submits an annual progress report</w:t>
      </w:r>
      <w:r w:rsidR="0068742F">
        <w:t xml:space="preserve">. </w:t>
      </w:r>
    </w:p>
    <w:p w14:paraId="18BA9F1F" w14:textId="77777777" w:rsidR="003D3828" w:rsidRDefault="003D3828" w:rsidP="0068742F">
      <w:pPr>
        <w:pStyle w:val="ListParagraph"/>
        <w:ind w:left="360"/>
        <w:jc w:val="both"/>
      </w:pPr>
    </w:p>
    <w:p w14:paraId="4A773750" w14:textId="6253D90A" w:rsidR="003D3828" w:rsidRDefault="00442082" w:rsidP="0068742F">
      <w:pPr>
        <w:pStyle w:val="ListParagraph"/>
        <w:ind w:left="360"/>
        <w:jc w:val="both"/>
      </w:pPr>
      <w:r>
        <w:t>In addition, each investigator</w:t>
      </w:r>
      <w:r w:rsidR="003D3828">
        <w:t xml:space="preserve"> </w:t>
      </w:r>
      <w:r>
        <w:t>is</w:t>
      </w:r>
      <w:r w:rsidR="003D3828">
        <w:t xml:space="preserve"> required to submit an updated CUNY SFI </w:t>
      </w:r>
      <w:r>
        <w:t>Disclosure Form to the college Gr</w:t>
      </w:r>
      <w:r w:rsidR="003D3828">
        <w:t xml:space="preserve">ants </w:t>
      </w:r>
      <w:r>
        <w:t>O</w:t>
      </w:r>
      <w:r w:rsidR="003D3828">
        <w:t xml:space="preserve">fficer and the CCO within 30 days of any material change </w:t>
      </w:r>
      <w:r>
        <w:t xml:space="preserve">in </w:t>
      </w:r>
      <w:r>
        <w:lastRenderedPageBreak/>
        <w:t>the previously disclosed SFI, discovery or acquisition of a new SFI, or when the investigator joins an ongoing research project at CUNY.</w:t>
      </w:r>
    </w:p>
    <w:p w14:paraId="2BA415BC" w14:textId="77777777" w:rsidR="00842FD3" w:rsidRDefault="00842FD3" w:rsidP="00CC09F7">
      <w:pPr>
        <w:pStyle w:val="ListParagraph"/>
        <w:jc w:val="both"/>
      </w:pPr>
    </w:p>
    <w:p w14:paraId="50E2A7A9" w14:textId="4093E7FD" w:rsidR="00842FD3" w:rsidRPr="0068742F" w:rsidRDefault="00842FD3" w:rsidP="0068742F">
      <w:pPr>
        <w:pStyle w:val="ListParagraph"/>
        <w:numPr>
          <w:ilvl w:val="0"/>
          <w:numId w:val="9"/>
        </w:numPr>
        <w:rPr>
          <w:b/>
        </w:rPr>
      </w:pPr>
      <w:r w:rsidRPr="00842FD3">
        <w:rPr>
          <w:b/>
        </w:rPr>
        <w:t>Review Process</w:t>
      </w:r>
    </w:p>
    <w:p w14:paraId="55B308AD" w14:textId="6B506942" w:rsidR="0068742F" w:rsidRDefault="000575F8" w:rsidP="0068742F">
      <w:pPr>
        <w:pStyle w:val="ListParagraph"/>
        <w:ind w:left="360"/>
        <w:jc w:val="both"/>
      </w:pPr>
      <w:r>
        <w:t xml:space="preserve">Every </w:t>
      </w:r>
      <w:r w:rsidR="00D84E38">
        <w:t xml:space="preserve">positive </w:t>
      </w:r>
      <w:r>
        <w:t>disclosure of a SFI (as defined in Section 6.16 of the CUNY Conflict of Interest Policy)</w:t>
      </w:r>
      <w:r w:rsidR="0068742F">
        <w:t xml:space="preserve"> </w:t>
      </w:r>
      <w:r w:rsidR="00502E64">
        <w:t>shall be reviewed in accordance with the following procedures:</w:t>
      </w:r>
    </w:p>
    <w:p w14:paraId="263C6638" w14:textId="77777777" w:rsidR="008D7A75" w:rsidRDefault="008D7A75" w:rsidP="0068742F">
      <w:pPr>
        <w:pStyle w:val="ListParagraph"/>
        <w:ind w:left="360"/>
        <w:jc w:val="both"/>
      </w:pPr>
    </w:p>
    <w:p w14:paraId="778E745D" w14:textId="7B9E92CB" w:rsidR="00CC09F7" w:rsidRDefault="00CC09F7" w:rsidP="00D25AC7">
      <w:pPr>
        <w:pStyle w:val="ListParagraph"/>
        <w:numPr>
          <w:ilvl w:val="0"/>
          <w:numId w:val="20"/>
        </w:numPr>
        <w:jc w:val="both"/>
      </w:pPr>
      <w:r>
        <w:t xml:space="preserve">The CCO shall </w:t>
      </w:r>
      <w:r w:rsidR="000575F8">
        <w:t xml:space="preserve">complete a FCOI Determination Report, setting forth his or her </w:t>
      </w:r>
      <w:r>
        <w:t>determin</w:t>
      </w:r>
      <w:r w:rsidR="000575F8">
        <w:t>ation</w:t>
      </w:r>
      <w:r>
        <w:t>:</w:t>
      </w:r>
    </w:p>
    <w:p w14:paraId="2F131749" w14:textId="574C7F4F" w:rsidR="00CC09F7" w:rsidRDefault="00CC09F7" w:rsidP="00D25AC7">
      <w:pPr>
        <w:pStyle w:val="ListParagraph"/>
        <w:numPr>
          <w:ilvl w:val="1"/>
          <w:numId w:val="11"/>
        </w:numPr>
        <w:jc w:val="both"/>
      </w:pPr>
      <w:r>
        <w:t xml:space="preserve">Whether the </w:t>
      </w:r>
      <w:r w:rsidR="008D7A75">
        <w:t>i</w:t>
      </w:r>
      <w:r>
        <w:t>nvestigator’s SFI is related</w:t>
      </w:r>
      <w:r>
        <w:rPr>
          <w:rStyle w:val="FootnoteReference"/>
        </w:rPr>
        <w:footnoteReference w:id="1"/>
      </w:r>
      <w:r>
        <w:t xml:space="preserve"> to </w:t>
      </w:r>
      <w:r w:rsidR="008D7A75">
        <w:t>the</w:t>
      </w:r>
      <w:r>
        <w:t xml:space="preserve"> </w:t>
      </w:r>
      <w:r w:rsidR="000575F8">
        <w:t xml:space="preserve">investigator’s </w:t>
      </w:r>
      <w:r>
        <w:t xml:space="preserve">research; and, if so, </w:t>
      </w:r>
    </w:p>
    <w:p w14:paraId="0A711CF8" w14:textId="62542F14" w:rsidR="00CC09F7" w:rsidRDefault="00CC09F7" w:rsidP="00D25AC7">
      <w:pPr>
        <w:pStyle w:val="ListParagraph"/>
        <w:numPr>
          <w:ilvl w:val="1"/>
          <w:numId w:val="11"/>
        </w:numPr>
        <w:jc w:val="both"/>
      </w:pPr>
      <w:r>
        <w:t>Whether the SFI constitutes a Financial Conflict of Interest</w:t>
      </w:r>
      <w:r w:rsidR="000575F8">
        <w:t xml:space="preserve"> (FCOI)</w:t>
      </w:r>
      <w:r>
        <w:rPr>
          <w:rStyle w:val="FootnoteReference"/>
        </w:rPr>
        <w:footnoteReference w:id="2"/>
      </w:r>
      <w:r>
        <w:t xml:space="preserve">, as defined in </w:t>
      </w:r>
      <w:r w:rsidR="001D527F">
        <w:t>section 6</w:t>
      </w:r>
      <w:r w:rsidR="000575F8">
        <w:t>.12</w:t>
      </w:r>
      <w:r w:rsidR="001D527F">
        <w:t xml:space="preserve"> of CUNY Conflict of Interest Policy</w:t>
      </w:r>
      <w:r>
        <w:t xml:space="preserve">. </w:t>
      </w:r>
    </w:p>
    <w:p w14:paraId="30711A94" w14:textId="77777777" w:rsidR="00CC09F7" w:rsidRDefault="00CC09F7" w:rsidP="00CC09F7">
      <w:pPr>
        <w:pStyle w:val="ListParagraph"/>
        <w:ind w:left="2160"/>
        <w:jc w:val="both"/>
      </w:pPr>
    </w:p>
    <w:p w14:paraId="7E157A5A" w14:textId="7547F0AA" w:rsidR="00CC09F7" w:rsidRDefault="00A32BC0" w:rsidP="00D25AC7">
      <w:pPr>
        <w:pStyle w:val="ListParagraph"/>
        <w:numPr>
          <w:ilvl w:val="0"/>
          <w:numId w:val="20"/>
        </w:numPr>
        <w:jc w:val="both"/>
      </w:pPr>
      <w:r>
        <w:t xml:space="preserve">Whether or not the CCO determines that a FCOI exists, </w:t>
      </w:r>
      <w:r w:rsidR="00BC2114">
        <w:t>the CCO</w:t>
      </w:r>
      <w:r w:rsidR="00CC09F7">
        <w:t xml:space="preserve"> shall promptly forward the SFI Disclosure Form</w:t>
      </w:r>
      <w:r w:rsidR="00BC2114">
        <w:t>, the SFI Supplement Form</w:t>
      </w:r>
      <w:r>
        <w:t>,</w:t>
      </w:r>
      <w:r w:rsidR="00BC2114">
        <w:t xml:space="preserve"> and a completed FCOI Determination </w:t>
      </w:r>
      <w:r>
        <w:t>Report</w:t>
      </w:r>
      <w:r w:rsidR="00CC09F7">
        <w:t xml:space="preserve"> to the University Director for Research Compliance</w:t>
      </w:r>
      <w:r w:rsidR="00BC2114">
        <w:t>, the College</w:t>
      </w:r>
      <w:r w:rsidR="00750220">
        <w:t xml:space="preserve"> Provost, the i</w:t>
      </w:r>
      <w:r w:rsidR="00BC2114">
        <w:t xml:space="preserve">nvestigator, and if the </w:t>
      </w:r>
      <w:r>
        <w:t>case</w:t>
      </w:r>
      <w:r w:rsidR="00BC2114">
        <w:t xml:space="preserve"> involves a sponsored project administered </w:t>
      </w:r>
      <w:r>
        <w:t>through</w:t>
      </w:r>
      <w:r w:rsidR="00BC2114">
        <w:t xml:space="preserve"> the </w:t>
      </w:r>
      <w:r>
        <w:t xml:space="preserve">CUNY </w:t>
      </w:r>
      <w:r w:rsidR="00BC2114">
        <w:t xml:space="preserve">Research Foundation, </w:t>
      </w:r>
      <w:r w:rsidR="00CC09F7">
        <w:t>the Legal Department of the Research Foundation.</w:t>
      </w:r>
    </w:p>
    <w:p w14:paraId="759C4624" w14:textId="77777777" w:rsidR="000361BA" w:rsidRDefault="000361BA" w:rsidP="000361BA">
      <w:pPr>
        <w:pStyle w:val="ListParagraph"/>
        <w:ind w:left="1440"/>
        <w:jc w:val="both"/>
      </w:pPr>
    </w:p>
    <w:p w14:paraId="2D461B91" w14:textId="6AEBADEE" w:rsidR="000361BA" w:rsidRDefault="000361BA" w:rsidP="00E05770">
      <w:pPr>
        <w:pStyle w:val="ListParagraph"/>
        <w:numPr>
          <w:ilvl w:val="1"/>
          <w:numId w:val="25"/>
        </w:numPr>
        <w:jc w:val="both"/>
      </w:pPr>
      <w:r>
        <w:t xml:space="preserve">The Chair of the Conflicts Committee shall review the FCOI Determination </w:t>
      </w:r>
      <w:r w:rsidR="008A2261">
        <w:t>Report</w:t>
      </w:r>
      <w:r>
        <w:t xml:space="preserve"> and indicate </w:t>
      </w:r>
      <w:proofErr w:type="gramStart"/>
      <w:r>
        <w:t xml:space="preserve">whether </w:t>
      </w:r>
      <w:r w:rsidR="008A2261">
        <w:t>or not</w:t>
      </w:r>
      <w:proofErr w:type="gramEnd"/>
      <w:r w:rsidR="008A2261">
        <w:t xml:space="preserve"> </w:t>
      </w:r>
      <w:r>
        <w:t xml:space="preserve">s/he concurs with the CCO’s determination.  If the Chair </w:t>
      </w:r>
      <w:r w:rsidR="008A2261">
        <w:t>determines</w:t>
      </w:r>
      <w:r>
        <w:t xml:space="preserve"> that a FCOI exists, the FCOI will be reviewed as follows:</w:t>
      </w:r>
    </w:p>
    <w:p w14:paraId="26786643" w14:textId="77777777" w:rsidR="000361BA" w:rsidRDefault="000361BA" w:rsidP="000361BA">
      <w:pPr>
        <w:pStyle w:val="ListParagraph"/>
        <w:ind w:left="1440"/>
        <w:jc w:val="both"/>
      </w:pPr>
    </w:p>
    <w:p w14:paraId="711E2C12" w14:textId="5D24871B" w:rsidR="000361BA" w:rsidRDefault="000361BA" w:rsidP="00D25AC7">
      <w:pPr>
        <w:pStyle w:val="ListParagraph"/>
        <w:numPr>
          <w:ilvl w:val="2"/>
          <w:numId w:val="11"/>
        </w:numPr>
        <w:jc w:val="both"/>
      </w:pPr>
      <w:r>
        <w:t>The University Director for Research Compliance shall promptly schedule a meeting (either in-person or via teleconference) of the Conflicts Committee.</w:t>
      </w:r>
    </w:p>
    <w:p w14:paraId="2D8D962B" w14:textId="77777777" w:rsidR="000361BA" w:rsidRDefault="000361BA" w:rsidP="000361BA">
      <w:pPr>
        <w:jc w:val="both"/>
      </w:pPr>
    </w:p>
    <w:p w14:paraId="5B769A41" w14:textId="4A6EFEB3" w:rsidR="00CC09F7" w:rsidRDefault="000361BA" w:rsidP="00D25AC7">
      <w:pPr>
        <w:pStyle w:val="ListParagraph"/>
        <w:numPr>
          <w:ilvl w:val="2"/>
          <w:numId w:val="11"/>
        </w:numPr>
        <w:jc w:val="both"/>
      </w:pPr>
      <w:r>
        <w:t>The</w:t>
      </w:r>
      <w:r w:rsidR="00CC09F7" w:rsidRPr="005C1373">
        <w:t xml:space="preserve"> </w:t>
      </w:r>
      <w:r w:rsidR="00CC09F7">
        <w:t xml:space="preserve">Conflicts Committee </w:t>
      </w:r>
      <w:r w:rsidR="00CC09F7" w:rsidRPr="005C1373">
        <w:t>shall decide on the requirements of a conflict management and oversight plan</w:t>
      </w:r>
      <w:r w:rsidR="00CC09F7">
        <w:t xml:space="preserve"> that specifies the actions </w:t>
      </w:r>
      <w:r w:rsidR="000B683B">
        <w:t>required</w:t>
      </w:r>
      <w:r w:rsidR="00CC09F7">
        <w:t xml:space="preserve"> to manage the FCOI</w:t>
      </w:r>
      <w:r w:rsidR="00CC09F7" w:rsidRPr="005C1373">
        <w:t>.</w:t>
      </w:r>
      <w:r w:rsidR="00CC09F7">
        <w:t xml:space="preserve"> </w:t>
      </w:r>
      <w:r w:rsidR="006D50AA" w:rsidRPr="007B3852">
        <w:rPr>
          <w:b/>
          <w:u w:val="single"/>
        </w:rPr>
        <w:t>A conflict management and oversight plan must be developed and implemented prior to the expenditure of any related research funds.</w:t>
      </w:r>
      <w:r w:rsidR="006D50AA">
        <w:t xml:space="preserve"> </w:t>
      </w:r>
      <w:r w:rsidR="00CC09F7">
        <w:t>Examples of conditions or restrictions that might be imposed to manage an FCOI include, but are not limited to, the following:</w:t>
      </w:r>
    </w:p>
    <w:p w14:paraId="70088554" w14:textId="77777777" w:rsidR="00CC09F7" w:rsidRDefault="00CC09F7" w:rsidP="000361BA">
      <w:pPr>
        <w:ind w:left="540"/>
        <w:jc w:val="both"/>
      </w:pPr>
    </w:p>
    <w:p w14:paraId="11EFDFEE" w14:textId="49CD7F40" w:rsidR="00CC09F7" w:rsidRDefault="00CC09F7" w:rsidP="00D25AC7">
      <w:pPr>
        <w:pStyle w:val="ListParagraph"/>
        <w:numPr>
          <w:ilvl w:val="3"/>
          <w:numId w:val="21"/>
        </w:numPr>
        <w:jc w:val="both"/>
      </w:pPr>
      <w:r>
        <w:t>Public disclosure of the FCOI (for example, when presenting or publishing the research</w:t>
      </w:r>
      <w:proofErr w:type="gramStart"/>
      <w:r>
        <w:t>);</w:t>
      </w:r>
      <w:proofErr w:type="gramEnd"/>
    </w:p>
    <w:p w14:paraId="3A6E5D0B" w14:textId="442B6418" w:rsidR="00CC09F7" w:rsidRDefault="00CC09F7" w:rsidP="00D25AC7">
      <w:pPr>
        <w:pStyle w:val="ListParagraph"/>
        <w:numPr>
          <w:ilvl w:val="3"/>
          <w:numId w:val="21"/>
        </w:numPr>
        <w:jc w:val="both"/>
      </w:pPr>
      <w:r>
        <w:lastRenderedPageBreak/>
        <w:t xml:space="preserve">For research projects involving human subjects research, disclosure of the FCOI directly to </w:t>
      </w:r>
      <w:proofErr w:type="gramStart"/>
      <w:r>
        <w:t>participants;</w:t>
      </w:r>
      <w:proofErr w:type="gramEnd"/>
    </w:p>
    <w:p w14:paraId="36F42F96" w14:textId="76EDEC82" w:rsidR="00CC09F7" w:rsidRDefault="00CC09F7" w:rsidP="00D25AC7">
      <w:pPr>
        <w:pStyle w:val="ListParagraph"/>
        <w:numPr>
          <w:ilvl w:val="3"/>
          <w:numId w:val="21"/>
        </w:numPr>
        <w:jc w:val="both"/>
      </w:pPr>
      <w:r>
        <w:t>Appointment of an independent monitor capable of taking measures to protect the design, conduct, reporting</w:t>
      </w:r>
      <w:r w:rsidR="007B3852">
        <w:t>, and review</w:t>
      </w:r>
      <w:r>
        <w:t xml:space="preserve"> of the research against bias resulting from the </w:t>
      </w:r>
      <w:proofErr w:type="gramStart"/>
      <w:r>
        <w:t>FCOI;</w:t>
      </w:r>
      <w:proofErr w:type="gramEnd"/>
    </w:p>
    <w:p w14:paraId="6275694B" w14:textId="5F62AE31" w:rsidR="007B3852" w:rsidRDefault="007B3852" w:rsidP="007B3852">
      <w:pPr>
        <w:pStyle w:val="ListParagraph"/>
        <w:numPr>
          <w:ilvl w:val="3"/>
          <w:numId w:val="21"/>
        </w:numPr>
        <w:jc w:val="both"/>
      </w:pPr>
      <w:r>
        <w:t xml:space="preserve">Appointment of a Conflicts Overseer in accordance with the CUNY COI Procedures for Oversight of Research by a Conflicts </w:t>
      </w:r>
      <w:proofErr w:type="gramStart"/>
      <w:r>
        <w:t>Overseer;</w:t>
      </w:r>
      <w:proofErr w:type="gramEnd"/>
    </w:p>
    <w:p w14:paraId="50D256FF" w14:textId="23C24BEC" w:rsidR="00CC09F7" w:rsidRDefault="00CC09F7" w:rsidP="00D25AC7">
      <w:pPr>
        <w:pStyle w:val="ListParagraph"/>
        <w:numPr>
          <w:ilvl w:val="3"/>
          <w:numId w:val="21"/>
        </w:numPr>
        <w:jc w:val="both"/>
      </w:pPr>
      <w:r>
        <w:t xml:space="preserve">Modification of the research </w:t>
      </w:r>
      <w:proofErr w:type="gramStart"/>
      <w:r>
        <w:t>plan;</w:t>
      </w:r>
      <w:proofErr w:type="gramEnd"/>
    </w:p>
    <w:p w14:paraId="306055BF" w14:textId="3415F052" w:rsidR="00CC09F7" w:rsidRDefault="00CC09F7" w:rsidP="00D25AC7">
      <w:pPr>
        <w:pStyle w:val="ListParagraph"/>
        <w:numPr>
          <w:ilvl w:val="3"/>
          <w:numId w:val="21"/>
        </w:numPr>
        <w:jc w:val="both"/>
      </w:pPr>
      <w:r>
        <w:t xml:space="preserve">Change of personnel or personnel responsibilities, or disqualification of personnel from participation in all or a portion of the </w:t>
      </w:r>
      <w:proofErr w:type="gramStart"/>
      <w:r>
        <w:t>research;</w:t>
      </w:r>
      <w:proofErr w:type="gramEnd"/>
    </w:p>
    <w:p w14:paraId="7AC64372" w14:textId="03E25709" w:rsidR="00CC09F7" w:rsidRDefault="00CC09F7" w:rsidP="00D25AC7">
      <w:pPr>
        <w:pStyle w:val="ListParagraph"/>
        <w:numPr>
          <w:ilvl w:val="3"/>
          <w:numId w:val="21"/>
        </w:numPr>
        <w:jc w:val="both"/>
      </w:pPr>
      <w:r>
        <w:t xml:space="preserve">Reduction or elimination of the </w:t>
      </w:r>
      <w:r w:rsidR="007B3852">
        <w:t>SFI</w:t>
      </w:r>
      <w:r>
        <w:t xml:space="preserve"> (for example,</w:t>
      </w:r>
      <w:r w:rsidR="009576D5">
        <w:t xml:space="preserve"> sale of an equity interest); or</w:t>
      </w:r>
    </w:p>
    <w:p w14:paraId="23165C0F" w14:textId="3ADBCFB5" w:rsidR="00CC09F7" w:rsidRDefault="00CC09F7" w:rsidP="00D25AC7">
      <w:pPr>
        <w:pStyle w:val="ListParagraph"/>
        <w:numPr>
          <w:ilvl w:val="3"/>
          <w:numId w:val="21"/>
        </w:numPr>
        <w:jc w:val="both"/>
      </w:pPr>
      <w:r>
        <w:t xml:space="preserve">Severance of relationships that </w:t>
      </w:r>
      <w:proofErr w:type="gramStart"/>
      <w:r>
        <w:t>create</w:t>
      </w:r>
      <w:proofErr w:type="gramEnd"/>
      <w:r>
        <w:t xml:space="preserve"> the FCOI. </w:t>
      </w:r>
    </w:p>
    <w:p w14:paraId="2BD677CD" w14:textId="77777777" w:rsidR="00CC09F7" w:rsidRDefault="00CC09F7" w:rsidP="00CC09F7">
      <w:pPr>
        <w:ind w:left="2880" w:hanging="270"/>
        <w:jc w:val="both"/>
      </w:pPr>
    </w:p>
    <w:p w14:paraId="0D7462EA" w14:textId="279A3A9F" w:rsidR="00E03E9A" w:rsidRPr="00E03E9A" w:rsidRDefault="00CC09F7" w:rsidP="00D25AC7">
      <w:pPr>
        <w:pStyle w:val="ListParagraph"/>
        <w:numPr>
          <w:ilvl w:val="2"/>
          <w:numId w:val="11"/>
        </w:numPr>
        <w:jc w:val="both"/>
      </w:pPr>
      <w:r w:rsidRPr="005C1373">
        <w:t xml:space="preserve">The </w:t>
      </w:r>
      <w:r>
        <w:t xml:space="preserve">Conflicts </w:t>
      </w:r>
      <w:r w:rsidRPr="005C1373">
        <w:t xml:space="preserve">Committee </w:t>
      </w:r>
      <w:r>
        <w:t xml:space="preserve">Administrator </w:t>
      </w:r>
      <w:r w:rsidRPr="005C1373">
        <w:t xml:space="preserve">shall document the Committee’s determinations in a formal conflict management </w:t>
      </w:r>
      <w:r>
        <w:t xml:space="preserve">and oversight </w:t>
      </w:r>
      <w:r w:rsidRPr="005C1373">
        <w:t xml:space="preserve">plan </w:t>
      </w:r>
      <w:r>
        <w:t>and promptly</w:t>
      </w:r>
      <w:r w:rsidRPr="005C1373">
        <w:t xml:space="preserve"> distribute </w:t>
      </w:r>
      <w:r>
        <w:t xml:space="preserve">it </w:t>
      </w:r>
      <w:r w:rsidRPr="005C1373">
        <w:t>to all affected parties</w:t>
      </w:r>
      <w:r>
        <w:t xml:space="preserve">, including the </w:t>
      </w:r>
      <w:r w:rsidR="00750220">
        <w:t xml:space="preserve">College Provost, the investigator, </w:t>
      </w:r>
      <w:r w:rsidR="007B3852">
        <w:t>the c</w:t>
      </w:r>
      <w:r>
        <w:t xml:space="preserve">ollege </w:t>
      </w:r>
      <w:r w:rsidR="007B3852">
        <w:t>G</w:t>
      </w:r>
      <w:r>
        <w:t xml:space="preserve">rants </w:t>
      </w:r>
      <w:r w:rsidR="007B3852">
        <w:t>O</w:t>
      </w:r>
      <w:r>
        <w:t>fficer</w:t>
      </w:r>
      <w:r w:rsidR="007B3852">
        <w:t xml:space="preserve"> </w:t>
      </w:r>
      <w:r>
        <w:t>and</w:t>
      </w:r>
      <w:r w:rsidR="007B3852">
        <w:t>, if the case involves a sponsored project administered through the CUNY Research Foundation,</w:t>
      </w:r>
      <w:r>
        <w:t xml:space="preserve"> the Legal Department of the Research Foundation</w:t>
      </w:r>
      <w:r w:rsidRPr="005C1373">
        <w:t>.</w:t>
      </w:r>
      <w:r>
        <w:t xml:space="preserve"> </w:t>
      </w:r>
    </w:p>
    <w:p w14:paraId="30602949" w14:textId="77777777" w:rsidR="00E03E9A" w:rsidRPr="00E03E9A" w:rsidRDefault="00E03E9A" w:rsidP="00E03E9A">
      <w:pPr>
        <w:pStyle w:val="ListParagraph"/>
        <w:ind w:left="2880"/>
        <w:jc w:val="both"/>
      </w:pPr>
    </w:p>
    <w:p w14:paraId="7BA685BD" w14:textId="45037304" w:rsidR="006D50AA" w:rsidRDefault="006D50AA" w:rsidP="00D25AC7">
      <w:pPr>
        <w:pStyle w:val="ListParagraph"/>
        <w:numPr>
          <w:ilvl w:val="3"/>
          <w:numId w:val="21"/>
        </w:numPr>
        <w:jc w:val="both"/>
      </w:pPr>
      <w:r>
        <w:t>If the research in question involves human subjects, the Conflicts Committee Administrator shall also notify the appropriate Institutional Review Board (IRB).</w:t>
      </w:r>
    </w:p>
    <w:p w14:paraId="251A8076" w14:textId="04BEE6FE" w:rsidR="00E03E9A" w:rsidRPr="00E03E9A" w:rsidRDefault="00E03E9A" w:rsidP="00D25AC7">
      <w:pPr>
        <w:pStyle w:val="ListParagraph"/>
        <w:numPr>
          <w:ilvl w:val="3"/>
          <w:numId w:val="21"/>
        </w:numPr>
        <w:jc w:val="both"/>
      </w:pPr>
      <w:r>
        <w:t>If the research in question involves animal subjects, the Conflict Committee Administrator shall also notify the appropriate Institutional Animal Care and Use Committee (IACUC).</w:t>
      </w:r>
    </w:p>
    <w:p w14:paraId="7C5E61A7" w14:textId="77777777" w:rsidR="00CC09F7" w:rsidRDefault="00CC09F7" w:rsidP="00CC09F7">
      <w:pPr>
        <w:pStyle w:val="ListParagraph"/>
        <w:ind w:left="2160"/>
        <w:jc w:val="both"/>
      </w:pPr>
    </w:p>
    <w:p w14:paraId="37E89F36" w14:textId="77777777" w:rsidR="00AC0E5F" w:rsidRDefault="00AC0E5F" w:rsidP="00AC0E5F">
      <w:pPr>
        <w:pStyle w:val="ListParagraph"/>
        <w:numPr>
          <w:ilvl w:val="2"/>
          <w:numId w:val="11"/>
        </w:numPr>
        <w:jc w:val="both"/>
        <w:rPr>
          <w:rFonts w:cstheme="minorHAnsi"/>
          <w:color w:val="000000"/>
        </w:rPr>
      </w:pPr>
      <w:r w:rsidRPr="00D0602A">
        <w:rPr>
          <w:rFonts w:cstheme="minorHAnsi"/>
          <w:color w:val="000000"/>
        </w:rPr>
        <w:t xml:space="preserve">Whenever the Conflicts Committee develops and implements a management and oversight plan, the Office of the Vice Chancellor for Research, with the assistance of the CCO, shall monitor the </w:t>
      </w:r>
      <w:r>
        <w:rPr>
          <w:rFonts w:cstheme="minorHAnsi"/>
          <w:color w:val="000000"/>
        </w:rPr>
        <w:t>i</w:t>
      </w:r>
      <w:r w:rsidRPr="00D0602A">
        <w:rPr>
          <w:rFonts w:cstheme="minorHAnsi"/>
          <w:color w:val="000000"/>
        </w:rPr>
        <w:t>nvestigator’s compliance with the plan on an ongoing basis until the completion of the research project</w:t>
      </w:r>
      <w:r>
        <w:rPr>
          <w:rFonts w:cstheme="minorHAnsi"/>
          <w:color w:val="000000"/>
        </w:rPr>
        <w:t>.</w:t>
      </w:r>
    </w:p>
    <w:p w14:paraId="32746F8F" w14:textId="77777777" w:rsidR="00AC0E5F" w:rsidRDefault="00AC0E5F" w:rsidP="00CC09F7">
      <w:pPr>
        <w:pStyle w:val="ListParagraph"/>
        <w:ind w:left="2160"/>
        <w:jc w:val="both"/>
      </w:pPr>
    </w:p>
    <w:p w14:paraId="747AE23D" w14:textId="038BED4D" w:rsidR="00630A01" w:rsidRPr="0068742F" w:rsidRDefault="00630A01" w:rsidP="00630A01">
      <w:pPr>
        <w:pStyle w:val="ListParagraph"/>
        <w:numPr>
          <w:ilvl w:val="0"/>
          <w:numId w:val="9"/>
        </w:numPr>
        <w:rPr>
          <w:b/>
        </w:rPr>
      </w:pPr>
      <w:r>
        <w:rPr>
          <w:b/>
        </w:rPr>
        <w:t>Non-Compliance</w:t>
      </w:r>
    </w:p>
    <w:p w14:paraId="600E4ED3" w14:textId="77777777" w:rsidR="00B910D3" w:rsidRPr="00434000" w:rsidRDefault="00B910D3" w:rsidP="00610DE5">
      <w:pPr>
        <w:pStyle w:val="ListParagraph"/>
        <w:ind w:left="360"/>
        <w:jc w:val="both"/>
        <w:rPr>
          <w:rFonts w:cstheme="minorHAnsi"/>
        </w:rPr>
      </w:pPr>
      <w:r w:rsidRPr="00434000">
        <w:rPr>
          <w:rFonts w:cstheme="minorHAnsi"/>
          <w:color w:val="000000"/>
        </w:rPr>
        <w:t>Any failure to comply with the provisions of th</w:t>
      </w:r>
      <w:r>
        <w:rPr>
          <w:rFonts w:cstheme="minorHAnsi"/>
          <w:color w:val="000000"/>
        </w:rPr>
        <w:t>e</w:t>
      </w:r>
      <w:r w:rsidRPr="00434000">
        <w:rPr>
          <w:rFonts w:cstheme="minorHAnsi"/>
          <w:color w:val="000000"/>
        </w:rPr>
        <w:t xml:space="preserve"> </w:t>
      </w:r>
      <w:r>
        <w:rPr>
          <w:rFonts w:cstheme="minorHAnsi"/>
          <w:color w:val="000000"/>
        </w:rPr>
        <w:t xml:space="preserve">CUNY Conflict of Interest </w:t>
      </w:r>
      <w:r w:rsidRPr="00434000">
        <w:rPr>
          <w:rFonts w:cstheme="minorHAnsi"/>
          <w:color w:val="000000"/>
        </w:rPr>
        <w:t xml:space="preserve">Policy may result in disciplinary sanctions consistent with applicable collective bargaining agreements, up to and including termination of employment.  In addition, any failure by an </w:t>
      </w:r>
      <w:r>
        <w:rPr>
          <w:rFonts w:cstheme="minorHAnsi"/>
          <w:color w:val="000000"/>
        </w:rPr>
        <w:t>i</w:t>
      </w:r>
      <w:r w:rsidRPr="00434000">
        <w:rPr>
          <w:rFonts w:cstheme="minorHAnsi"/>
          <w:color w:val="000000"/>
        </w:rPr>
        <w:t xml:space="preserve">nvestigator to comply with the requirement to disclose </w:t>
      </w:r>
      <w:r>
        <w:rPr>
          <w:rFonts w:cstheme="minorHAnsi"/>
          <w:color w:val="000000"/>
        </w:rPr>
        <w:t xml:space="preserve">a </w:t>
      </w:r>
      <w:r w:rsidRPr="00434000">
        <w:rPr>
          <w:rFonts w:cstheme="minorHAnsi"/>
          <w:color w:val="000000"/>
        </w:rPr>
        <w:t>SFI or with a management and oversight plan regarding a F</w:t>
      </w:r>
      <w:r>
        <w:rPr>
          <w:rFonts w:cstheme="minorHAnsi"/>
          <w:color w:val="000000"/>
        </w:rPr>
        <w:t>CO</w:t>
      </w:r>
      <w:r w:rsidRPr="00434000">
        <w:rPr>
          <w:rFonts w:cstheme="minorHAnsi"/>
          <w:color w:val="000000"/>
        </w:rPr>
        <w:t xml:space="preserve">I may lead to a loss and/or withdrawal of grant funding or support, ineligibility to submit grant applications to research sponsors or to </w:t>
      </w:r>
      <w:r w:rsidRPr="00434000">
        <w:rPr>
          <w:rFonts w:cstheme="minorHAnsi"/>
          <w:color w:val="000000"/>
        </w:rPr>
        <w:lastRenderedPageBreak/>
        <w:t xml:space="preserve">participate in research on behalf of </w:t>
      </w:r>
      <w:r>
        <w:rPr>
          <w:rFonts w:cstheme="minorHAnsi"/>
          <w:color w:val="000000"/>
        </w:rPr>
        <w:t>CUNY</w:t>
      </w:r>
      <w:r w:rsidRPr="00434000">
        <w:rPr>
          <w:rFonts w:cstheme="minorHAnsi"/>
          <w:color w:val="000000"/>
        </w:rPr>
        <w:t xml:space="preserve">, and/or ineligibility to supervise the work of </w:t>
      </w:r>
      <w:r>
        <w:rPr>
          <w:rFonts w:cstheme="minorHAnsi"/>
          <w:color w:val="000000"/>
        </w:rPr>
        <w:t>other i</w:t>
      </w:r>
      <w:r w:rsidRPr="00434000">
        <w:rPr>
          <w:rFonts w:cstheme="minorHAnsi"/>
          <w:color w:val="000000"/>
        </w:rPr>
        <w:t>nvestigators in research projects</w:t>
      </w:r>
      <w:r>
        <w:rPr>
          <w:rFonts w:cstheme="minorHAnsi"/>
          <w:color w:val="000000"/>
        </w:rPr>
        <w:t>.</w:t>
      </w:r>
    </w:p>
    <w:p w14:paraId="03071151" w14:textId="77777777" w:rsidR="00BA5B27" w:rsidRDefault="00BA5B27" w:rsidP="00CC09F7">
      <w:pPr>
        <w:pStyle w:val="ListParagraph"/>
        <w:ind w:left="2160"/>
        <w:jc w:val="both"/>
      </w:pPr>
    </w:p>
    <w:sectPr w:rsidR="00BA5B27" w:rsidSect="00AF46E4">
      <w:headerReference w:type="even"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D885" w14:textId="77777777" w:rsidR="00DC1C2C" w:rsidRDefault="00DC1C2C" w:rsidP="00CC09F7">
      <w:r>
        <w:separator/>
      </w:r>
    </w:p>
  </w:endnote>
  <w:endnote w:type="continuationSeparator" w:id="0">
    <w:p w14:paraId="6DDE07C1" w14:textId="77777777" w:rsidR="00DC1C2C" w:rsidRDefault="00DC1C2C" w:rsidP="00CC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700F" w14:textId="77777777" w:rsidR="008A2261" w:rsidRDefault="008A2261" w:rsidP="00C01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EF40A" w14:textId="77777777" w:rsidR="008A2261" w:rsidRDefault="008A2261" w:rsidP="00E654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F5B" w14:textId="7C2AF202" w:rsidR="008A2261" w:rsidRDefault="008A2261" w:rsidP="00C01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528">
      <w:rPr>
        <w:rStyle w:val="PageNumber"/>
        <w:noProof/>
      </w:rPr>
      <w:t>2</w:t>
    </w:r>
    <w:r>
      <w:rPr>
        <w:rStyle w:val="PageNumber"/>
      </w:rPr>
      <w:fldChar w:fldCharType="end"/>
    </w:r>
  </w:p>
  <w:p w14:paraId="4B16F787" w14:textId="00BEB24D" w:rsidR="008A2261" w:rsidRDefault="008A2261" w:rsidP="00E65490">
    <w:pPr>
      <w:pStyle w:val="Footer"/>
      <w:pBdr>
        <w:top w:val="single" w:sz="12" w:space="1" w:color="auto"/>
      </w:pBdr>
      <w:tabs>
        <w:tab w:val="clear" w:pos="8640"/>
        <w:tab w:val="right" w:pos="9090"/>
      </w:tabs>
      <w:ind w:right="-90"/>
    </w:pPr>
    <w:r>
      <w:t xml:space="preserve">Last Updated: </w:t>
    </w:r>
    <w:r w:rsidR="00442528">
      <w:t xml:space="preserve">December 6, </w:t>
    </w:r>
    <w:proofErr w:type="gramStart"/>
    <w:r w:rsidR="00442528">
      <w:t>2019</w:t>
    </w:r>
    <w:proofErr w:type="gramEnd"/>
    <w:r>
      <w:tab/>
    </w: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7F89" w14:textId="77777777" w:rsidR="00DC1C2C" w:rsidRDefault="00DC1C2C" w:rsidP="00CC09F7">
      <w:r>
        <w:separator/>
      </w:r>
    </w:p>
  </w:footnote>
  <w:footnote w:type="continuationSeparator" w:id="0">
    <w:p w14:paraId="79D68807" w14:textId="77777777" w:rsidR="00DC1C2C" w:rsidRDefault="00DC1C2C" w:rsidP="00CC09F7">
      <w:r>
        <w:continuationSeparator/>
      </w:r>
    </w:p>
  </w:footnote>
  <w:footnote w:id="1">
    <w:p w14:paraId="2BD6544D" w14:textId="6EAEFFAC" w:rsidR="008A2261" w:rsidRPr="00266AAD" w:rsidRDefault="008A2261" w:rsidP="00CC09F7">
      <w:pPr>
        <w:pStyle w:val="FootnoteText"/>
        <w:rPr>
          <w:sz w:val="20"/>
          <w:szCs w:val="20"/>
        </w:rPr>
      </w:pPr>
      <w:r w:rsidRPr="00266AAD">
        <w:rPr>
          <w:rStyle w:val="FootnoteReference"/>
          <w:sz w:val="20"/>
          <w:szCs w:val="20"/>
        </w:rPr>
        <w:footnoteRef/>
      </w:r>
      <w:r w:rsidRPr="00266AAD">
        <w:rPr>
          <w:sz w:val="20"/>
          <w:szCs w:val="20"/>
        </w:rPr>
        <w:t xml:space="preserve"> An Investigator’s SFI is related to </w:t>
      </w:r>
      <w:r>
        <w:rPr>
          <w:sz w:val="20"/>
          <w:szCs w:val="20"/>
        </w:rPr>
        <w:t>the</w:t>
      </w:r>
      <w:r w:rsidRPr="00266AAD">
        <w:rPr>
          <w:sz w:val="20"/>
          <w:szCs w:val="20"/>
        </w:rPr>
        <w:t xml:space="preserve"> research when the CCO reasonably determines that the SFI could be affected by the research, or is in an entity whose financial interest cou</w:t>
      </w:r>
      <w:r>
        <w:rPr>
          <w:sz w:val="20"/>
          <w:szCs w:val="20"/>
        </w:rPr>
        <w:t>ld be affected by the research.</w:t>
      </w:r>
    </w:p>
  </w:footnote>
  <w:footnote w:id="2">
    <w:p w14:paraId="586CDDFF" w14:textId="0763EF2C" w:rsidR="008A2261" w:rsidRPr="00266AAD" w:rsidRDefault="008A2261" w:rsidP="00CC09F7">
      <w:pPr>
        <w:jc w:val="both"/>
        <w:rPr>
          <w:sz w:val="20"/>
          <w:szCs w:val="20"/>
        </w:rPr>
      </w:pPr>
      <w:r w:rsidRPr="00266AAD">
        <w:rPr>
          <w:rStyle w:val="FootnoteReference"/>
          <w:sz w:val="20"/>
          <w:szCs w:val="20"/>
        </w:rPr>
        <w:footnoteRef/>
      </w:r>
      <w:r w:rsidR="00C96240">
        <w:rPr>
          <w:sz w:val="20"/>
          <w:szCs w:val="20"/>
        </w:rPr>
        <w:t xml:space="preserve"> An</w:t>
      </w:r>
      <w:r w:rsidRPr="00266AAD">
        <w:rPr>
          <w:sz w:val="20"/>
          <w:szCs w:val="20"/>
        </w:rPr>
        <w:t xml:space="preserve"> FCOI exists when the CCO determines that </w:t>
      </w:r>
      <w:r>
        <w:rPr>
          <w:sz w:val="20"/>
          <w:szCs w:val="20"/>
        </w:rPr>
        <w:t>the</w:t>
      </w:r>
      <w:r w:rsidRPr="00266AAD">
        <w:rPr>
          <w:sz w:val="20"/>
          <w:szCs w:val="20"/>
        </w:rPr>
        <w:t xml:space="preserve"> SFI could directly and significantly affect the design, conduct, reporti</w:t>
      </w:r>
      <w:r>
        <w:rPr>
          <w:sz w:val="20"/>
          <w:szCs w:val="20"/>
        </w:rPr>
        <w:t>ng</w:t>
      </w:r>
      <w:r w:rsidR="00C96240">
        <w:rPr>
          <w:sz w:val="20"/>
          <w:szCs w:val="20"/>
        </w:rPr>
        <w:t xml:space="preserve"> or review</w:t>
      </w:r>
      <w:r>
        <w:rPr>
          <w:sz w:val="20"/>
          <w:szCs w:val="20"/>
        </w:rPr>
        <w:t xml:space="preserve"> of the research.</w:t>
      </w:r>
    </w:p>
    <w:p w14:paraId="638D592D" w14:textId="77777777" w:rsidR="008A2261" w:rsidRDefault="008A2261" w:rsidP="00CC09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4060" w14:textId="730E187A" w:rsidR="008A2261" w:rsidRDefault="00BE5610">
    <w:pPr>
      <w:pStyle w:val="Header"/>
    </w:pPr>
    <w:r>
      <w:rPr>
        <w:noProof/>
      </w:rPr>
      <w:pict w14:anchorId="4E461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F1F5" w14:textId="06E7D1C4" w:rsidR="008A2261" w:rsidRDefault="00BE5610">
    <w:pPr>
      <w:pStyle w:val="Header"/>
    </w:pPr>
    <w:r>
      <w:rPr>
        <w:noProof/>
      </w:rPr>
      <w:pict w14:anchorId="5DB86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01E2"/>
    <w:multiLevelType w:val="hybridMultilevel"/>
    <w:tmpl w:val="B420D0D4"/>
    <w:lvl w:ilvl="0" w:tplc="ED601768">
      <w:start w:val="1"/>
      <w:numFmt w:val="upperRoman"/>
      <w:lvlText w:val="%1."/>
      <w:lvlJc w:val="left"/>
      <w:pPr>
        <w:ind w:left="360" w:hanging="360"/>
      </w:pPr>
      <w:rPr>
        <w:rFonts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2D37761"/>
    <w:multiLevelType w:val="multilevel"/>
    <w:tmpl w:val="D752E96A"/>
    <w:lvl w:ilvl="0">
      <w:start w:val="1"/>
      <w:numFmt w:val="upperRoman"/>
      <w:lvlText w:val="%1."/>
      <w:lvlJc w:val="right"/>
      <w:pPr>
        <w:ind w:left="180" w:hanging="18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15:restartNumberingAfterBreak="0">
    <w:nsid w:val="03297B19"/>
    <w:multiLevelType w:val="hybridMultilevel"/>
    <w:tmpl w:val="67FCC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C0FFA"/>
    <w:multiLevelType w:val="hybridMultilevel"/>
    <w:tmpl w:val="337A3DB4"/>
    <w:lvl w:ilvl="0" w:tplc="59D013C0">
      <w:start w:val="1"/>
      <w:numFmt w:val="upperRoman"/>
      <w:lvlText w:val="%1."/>
      <w:lvlJc w:val="right"/>
      <w:pPr>
        <w:ind w:left="288" w:hanging="288"/>
      </w:pPr>
      <w:rPr>
        <w:rFonts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D4C3EFE"/>
    <w:multiLevelType w:val="hybridMultilevel"/>
    <w:tmpl w:val="C6982868"/>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15:restartNumberingAfterBreak="0">
    <w:nsid w:val="103919AA"/>
    <w:multiLevelType w:val="hybridMultilevel"/>
    <w:tmpl w:val="741CE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7185B88">
      <w:numFmt w:val="bullet"/>
      <w:lvlText w:val="-"/>
      <w:lvlJc w:val="left"/>
      <w:pPr>
        <w:ind w:left="3600" w:hanging="360"/>
      </w:pPr>
      <w:rPr>
        <w:rFonts w:ascii="Cambria" w:eastAsiaTheme="minorEastAsia" w:hAnsi="Cambria"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B3479"/>
    <w:multiLevelType w:val="multilevel"/>
    <w:tmpl w:val="337A3DB4"/>
    <w:lvl w:ilvl="0">
      <w:start w:val="1"/>
      <w:numFmt w:val="upperRoman"/>
      <w:lvlText w:val="%1."/>
      <w:lvlJc w:val="right"/>
      <w:pPr>
        <w:ind w:left="288" w:hanging="288"/>
      </w:pPr>
      <w:rPr>
        <w:rFonts w:hint="default"/>
        <w:b/>
        <w:bCs/>
        <w:i w:val="0"/>
        <w:iCs w:val="0"/>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 w15:restartNumberingAfterBreak="0">
    <w:nsid w:val="15D54575"/>
    <w:multiLevelType w:val="hybridMultilevel"/>
    <w:tmpl w:val="9E96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65A6"/>
    <w:multiLevelType w:val="hybridMultilevel"/>
    <w:tmpl w:val="D72C5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7185B88">
      <w:numFmt w:val="bullet"/>
      <w:lvlText w:val="-"/>
      <w:lvlJc w:val="left"/>
      <w:pPr>
        <w:ind w:left="3600" w:hanging="360"/>
      </w:pPr>
      <w:rPr>
        <w:rFonts w:ascii="Cambria" w:eastAsiaTheme="minorEastAsia" w:hAnsi="Cambria"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26ED6"/>
    <w:multiLevelType w:val="hybridMultilevel"/>
    <w:tmpl w:val="BC9A05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7185B88">
      <w:numFmt w:val="bullet"/>
      <w:lvlText w:val="-"/>
      <w:lvlJc w:val="left"/>
      <w:pPr>
        <w:ind w:left="3600" w:hanging="360"/>
      </w:pPr>
      <w:rPr>
        <w:rFonts w:ascii="Cambria" w:eastAsiaTheme="minorEastAsia" w:hAnsi="Cambria"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60016"/>
    <w:multiLevelType w:val="multilevel"/>
    <w:tmpl w:val="D72C5F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Cambria" w:eastAsiaTheme="minorEastAsia" w:hAnsi="Cambria" w:cstheme="minorBidi"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F259D8"/>
    <w:multiLevelType w:val="hybridMultilevel"/>
    <w:tmpl w:val="F67CB2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7185B88">
      <w:numFmt w:val="bullet"/>
      <w:lvlText w:val="-"/>
      <w:lvlJc w:val="left"/>
      <w:pPr>
        <w:ind w:left="3600" w:hanging="360"/>
      </w:pPr>
      <w:rPr>
        <w:rFonts w:ascii="Cambria" w:eastAsiaTheme="minorEastAsia" w:hAnsi="Cambria"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2614C"/>
    <w:multiLevelType w:val="hybridMultilevel"/>
    <w:tmpl w:val="E3524390"/>
    <w:lvl w:ilvl="0" w:tplc="076C2E22">
      <w:start w:val="1"/>
      <w:numFmt w:val="upperRoman"/>
      <w:lvlText w:val="%1."/>
      <w:lvlJc w:val="right"/>
      <w:pPr>
        <w:ind w:left="360" w:hanging="360"/>
      </w:pPr>
      <w:rPr>
        <w:rFonts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48041D3"/>
    <w:multiLevelType w:val="multilevel"/>
    <w:tmpl w:val="E3524390"/>
    <w:lvl w:ilvl="0">
      <w:start w:val="1"/>
      <w:numFmt w:val="upperRoman"/>
      <w:lvlText w:val="%1."/>
      <w:lvlJc w:val="right"/>
      <w:pPr>
        <w:ind w:left="360" w:hanging="360"/>
      </w:pPr>
      <w:rPr>
        <w:rFonts w:hint="default"/>
        <w:b/>
        <w:bCs/>
        <w:i w:val="0"/>
        <w:iCs w:val="0"/>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4" w15:restartNumberingAfterBreak="0">
    <w:nsid w:val="35041284"/>
    <w:multiLevelType w:val="multilevel"/>
    <w:tmpl w:val="AF6C5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Cambria" w:eastAsiaTheme="minorEastAsia" w:hAnsi="Cambria" w:cstheme="minorBidi"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A13567"/>
    <w:multiLevelType w:val="hybridMultilevel"/>
    <w:tmpl w:val="D752E96A"/>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4DB02C7A"/>
    <w:multiLevelType w:val="hybridMultilevel"/>
    <w:tmpl w:val="E8AE11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42B2D"/>
    <w:multiLevelType w:val="multilevel"/>
    <w:tmpl w:val="D72C5F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Cambria" w:eastAsiaTheme="minorEastAsia" w:hAnsi="Cambria" w:cstheme="minorBidi"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487733"/>
    <w:multiLevelType w:val="multilevel"/>
    <w:tmpl w:val="D72C5F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Cambria" w:eastAsiaTheme="minorEastAsia" w:hAnsi="Cambria" w:cstheme="minorBidi"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234C72"/>
    <w:multiLevelType w:val="hybridMultilevel"/>
    <w:tmpl w:val="ED741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C00643"/>
    <w:multiLevelType w:val="hybridMultilevel"/>
    <w:tmpl w:val="AF6C5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7185B88">
      <w:numFmt w:val="bullet"/>
      <w:lvlText w:val="-"/>
      <w:lvlJc w:val="left"/>
      <w:pPr>
        <w:ind w:left="3600" w:hanging="360"/>
      </w:pPr>
      <w:rPr>
        <w:rFonts w:ascii="Cambria" w:eastAsiaTheme="minorEastAsia" w:hAnsi="Cambria"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B2468"/>
    <w:multiLevelType w:val="multilevel"/>
    <w:tmpl w:val="D72C5F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Cambria" w:eastAsiaTheme="minorEastAsia" w:hAnsi="Cambria" w:cstheme="minorBidi"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9405EF"/>
    <w:multiLevelType w:val="multilevel"/>
    <w:tmpl w:val="B11AAF78"/>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046865"/>
    <w:multiLevelType w:val="multilevel"/>
    <w:tmpl w:val="B11AAF78"/>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8F259E"/>
    <w:multiLevelType w:val="hybridMultilevel"/>
    <w:tmpl w:val="AE9E7A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87329"/>
    <w:multiLevelType w:val="hybridMultilevel"/>
    <w:tmpl w:val="94785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196429">
    <w:abstractNumId w:val="23"/>
  </w:num>
  <w:num w:numId="2" w16cid:durableId="823159555">
    <w:abstractNumId w:val="22"/>
  </w:num>
  <w:num w:numId="3" w16cid:durableId="1260329141">
    <w:abstractNumId w:val="15"/>
  </w:num>
  <w:num w:numId="4" w16cid:durableId="1925331701">
    <w:abstractNumId w:val="1"/>
  </w:num>
  <w:num w:numId="5" w16cid:durableId="623317295">
    <w:abstractNumId w:val="3"/>
  </w:num>
  <w:num w:numId="6" w16cid:durableId="1181159832">
    <w:abstractNumId w:val="6"/>
  </w:num>
  <w:num w:numId="7" w16cid:durableId="1289237988">
    <w:abstractNumId w:val="12"/>
  </w:num>
  <w:num w:numId="8" w16cid:durableId="1082721342">
    <w:abstractNumId w:val="13"/>
  </w:num>
  <w:num w:numId="9" w16cid:durableId="115952045">
    <w:abstractNumId w:val="0"/>
  </w:num>
  <w:num w:numId="10" w16cid:durableId="1037195212">
    <w:abstractNumId w:val="2"/>
  </w:num>
  <w:num w:numId="11" w16cid:durableId="1410037946">
    <w:abstractNumId w:val="8"/>
  </w:num>
  <w:num w:numId="12" w16cid:durableId="1850440281">
    <w:abstractNumId w:val="25"/>
  </w:num>
  <w:num w:numId="13" w16cid:durableId="478117287">
    <w:abstractNumId w:val="4"/>
  </w:num>
  <w:num w:numId="14" w16cid:durableId="873348243">
    <w:abstractNumId w:val="10"/>
  </w:num>
  <w:num w:numId="15" w16cid:durableId="850602865">
    <w:abstractNumId w:val="24"/>
  </w:num>
  <w:num w:numId="16" w16cid:durableId="68845142">
    <w:abstractNumId w:val="7"/>
  </w:num>
  <w:num w:numId="17" w16cid:durableId="961109210">
    <w:abstractNumId w:val="17"/>
  </w:num>
  <w:num w:numId="18" w16cid:durableId="1582716988">
    <w:abstractNumId w:val="9"/>
  </w:num>
  <w:num w:numId="19" w16cid:durableId="1074425401">
    <w:abstractNumId w:val="21"/>
  </w:num>
  <w:num w:numId="20" w16cid:durableId="622923244">
    <w:abstractNumId w:val="20"/>
  </w:num>
  <w:num w:numId="21" w16cid:durableId="317418266">
    <w:abstractNumId w:val="16"/>
  </w:num>
  <w:num w:numId="22" w16cid:durableId="684017243">
    <w:abstractNumId w:val="14"/>
  </w:num>
  <w:num w:numId="23" w16cid:durableId="258493689">
    <w:abstractNumId w:val="5"/>
  </w:num>
  <w:num w:numId="24" w16cid:durableId="1601140201">
    <w:abstractNumId w:val="18"/>
  </w:num>
  <w:num w:numId="25" w16cid:durableId="102117560">
    <w:abstractNumId w:val="11"/>
  </w:num>
  <w:num w:numId="26" w16cid:durableId="12458405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98D"/>
    <w:rsid w:val="000361BA"/>
    <w:rsid w:val="000575F8"/>
    <w:rsid w:val="000B683B"/>
    <w:rsid w:val="000C7D3F"/>
    <w:rsid w:val="000F3075"/>
    <w:rsid w:val="001012F1"/>
    <w:rsid w:val="0017398D"/>
    <w:rsid w:val="001D527F"/>
    <w:rsid w:val="00234E94"/>
    <w:rsid w:val="002610C4"/>
    <w:rsid w:val="003D3828"/>
    <w:rsid w:val="00412490"/>
    <w:rsid w:val="00442082"/>
    <w:rsid w:val="00442528"/>
    <w:rsid w:val="00480025"/>
    <w:rsid w:val="00502E64"/>
    <w:rsid w:val="00570F92"/>
    <w:rsid w:val="00610DE5"/>
    <w:rsid w:val="00630A01"/>
    <w:rsid w:val="00644FB3"/>
    <w:rsid w:val="0068742F"/>
    <w:rsid w:val="006D50AA"/>
    <w:rsid w:val="006E7774"/>
    <w:rsid w:val="00750220"/>
    <w:rsid w:val="00775C4E"/>
    <w:rsid w:val="007B3852"/>
    <w:rsid w:val="007F53A6"/>
    <w:rsid w:val="007F5FC4"/>
    <w:rsid w:val="00807CF6"/>
    <w:rsid w:val="0081387D"/>
    <w:rsid w:val="00821A68"/>
    <w:rsid w:val="00842FD3"/>
    <w:rsid w:val="00877FDB"/>
    <w:rsid w:val="008A2261"/>
    <w:rsid w:val="008C611F"/>
    <w:rsid w:val="008D7A75"/>
    <w:rsid w:val="009576D5"/>
    <w:rsid w:val="00961C45"/>
    <w:rsid w:val="00985B0B"/>
    <w:rsid w:val="009E737B"/>
    <w:rsid w:val="00A32BC0"/>
    <w:rsid w:val="00AC0E5F"/>
    <w:rsid w:val="00AF46E4"/>
    <w:rsid w:val="00B17D89"/>
    <w:rsid w:val="00B910D3"/>
    <w:rsid w:val="00BA0DF9"/>
    <w:rsid w:val="00BA5B27"/>
    <w:rsid w:val="00BC2114"/>
    <w:rsid w:val="00BE5610"/>
    <w:rsid w:val="00BF1F30"/>
    <w:rsid w:val="00C0141B"/>
    <w:rsid w:val="00C1314F"/>
    <w:rsid w:val="00C33C73"/>
    <w:rsid w:val="00C93B9A"/>
    <w:rsid w:val="00C96240"/>
    <w:rsid w:val="00CA3CB7"/>
    <w:rsid w:val="00CC09F7"/>
    <w:rsid w:val="00D02EE9"/>
    <w:rsid w:val="00D25AC7"/>
    <w:rsid w:val="00D84E38"/>
    <w:rsid w:val="00DC1C2C"/>
    <w:rsid w:val="00E03E9A"/>
    <w:rsid w:val="00E05770"/>
    <w:rsid w:val="00E65490"/>
    <w:rsid w:val="00E65A64"/>
    <w:rsid w:val="00E7625D"/>
    <w:rsid w:val="00EB262E"/>
    <w:rsid w:val="00FD023C"/>
    <w:rsid w:val="00FE3130"/>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C5E202"/>
  <w14:defaultImageDpi w14:val="300"/>
  <w15:docId w15:val="{41BBE8EA-67B1-49E4-8DEA-BE7DACB9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F9"/>
    <w:pPr>
      <w:ind w:left="720"/>
      <w:contextualSpacing/>
    </w:pPr>
  </w:style>
  <w:style w:type="character" w:styleId="Hyperlink">
    <w:name w:val="Hyperlink"/>
    <w:basedOn w:val="DefaultParagraphFont"/>
    <w:uiPriority w:val="99"/>
    <w:unhideWhenUsed/>
    <w:rsid w:val="006E7774"/>
    <w:rPr>
      <w:color w:val="0000FF" w:themeColor="hyperlink"/>
      <w:u w:val="single"/>
    </w:rPr>
  </w:style>
  <w:style w:type="paragraph" w:styleId="FootnoteText">
    <w:name w:val="footnote text"/>
    <w:basedOn w:val="Normal"/>
    <w:link w:val="FootnoteTextChar"/>
    <w:uiPriority w:val="99"/>
    <w:unhideWhenUsed/>
    <w:rsid w:val="00CC09F7"/>
  </w:style>
  <w:style w:type="character" w:customStyle="1" w:styleId="FootnoteTextChar">
    <w:name w:val="Footnote Text Char"/>
    <w:basedOn w:val="DefaultParagraphFont"/>
    <w:link w:val="FootnoteText"/>
    <w:uiPriority w:val="99"/>
    <w:rsid w:val="00CC09F7"/>
  </w:style>
  <w:style w:type="character" w:styleId="FootnoteReference">
    <w:name w:val="footnote reference"/>
    <w:basedOn w:val="DefaultParagraphFont"/>
    <w:uiPriority w:val="99"/>
    <w:unhideWhenUsed/>
    <w:rsid w:val="00CC09F7"/>
    <w:rPr>
      <w:vertAlign w:val="superscript"/>
    </w:rPr>
  </w:style>
  <w:style w:type="character" w:styleId="FollowedHyperlink">
    <w:name w:val="FollowedHyperlink"/>
    <w:basedOn w:val="DefaultParagraphFont"/>
    <w:uiPriority w:val="99"/>
    <w:semiHidden/>
    <w:unhideWhenUsed/>
    <w:rsid w:val="00821A68"/>
    <w:rPr>
      <w:color w:val="800080" w:themeColor="followedHyperlink"/>
      <w:u w:val="single"/>
    </w:rPr>
  </w:style>
  <w:style w:type="paragraph" w:styleId="Header">
    <w:name w:val="header"/>
    <w:basedOn w:val="Normal"/>
    <w:link w:val="HeaderChar"/>
    <w:uiPriority w:val="99"/>
    <w:unhideWhenUsed/>
    <w:rsid w:val="00E65490"/>
    <w:pPr>
      <w:tabs>
        <w:tab w:val="center" w:pos="4320"/>
        <w:tab w:val="right" w:pos="8640"/>
      </w:tabs>
    </w:pPr>
  </w:style>
  <w:style w:type="character" w:customStyle="1" w:styleId="HeaderChar">
    <w:name w:val="Header Char"/>
    <w:basedOn w:val="DefaultParagraphFont"/>
    <w:link w:val="Header"/>
    <w:uiPriority w:val="99"/>
    <w:rsid w:val="00E65490"/>
  </w:style>
  <w:style w:type="paragraph" w:styleId="Footer">
    <w:name w:val="footer"/>
    <w:basedOn w:val="Normal"/>
    <w:link w:val="FooterChar"/>
    <w:uiPriority w:val="99"/>
    <w:unhideWhenUsed/>
    <w:rsid w:val="00E65490"/>
    <w:pPr>
      <w:tabs>
        <w:tab w:val="center" w:pos="4320"/>
        <w:tab w:val="right" w:pos="8640"/>
      </w:tabs>
    </w:pPr>
  </w:style>
  <w:style w:type="character" w:customStyle="1" w:styleId="FooterChar">
    <w:name w:val="Footer Char"/>
    <w:basedOn w:val="DefaultParagraphFont"/>
    <w:link w:val="Footer"/>
    <w:uiPriority w:val="99"/>
    <w:rsid w:val="00E65490"/>
  </w:style>
  <w:style w:type="character" w:styleId="PageNumber">
    <w:name w:val="page number"/>
    <w:basedOn w:val="DefaultParagraphFont"/>
    <w:uiPriority w:val="99"/>
    <w:semiHidden/>
    <w:unhideWhenUsed/>
    <w:rsid w:val="00E6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ny.edu/research/research-compliance/conflict-of-inter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ny.edu/research/research-compliance/conflict-of-intere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uny.edu/research/research-compliance/conflict-of-interest/" TargetMode="External"/><Relationship Id="rId4" Type="http://schemas.openxmlformats.org/officeDocument/2006/relationships/settings" Target="settings.xml"/><Relationship Id="rId9" Type="http://schemas.openxmlformats.org/officeDocument/2006/relationships/hyperlink" Target="http://www.cuny.edu/research/research-compliance/training-education/citi-train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13D5-6F71-4FC4-8B31-1586FBBE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Lada</dc:creator>
  <cp:keywords/>
  <dc:description/>
  <cp:lastModifiedBy>Grant Kemp</cp:lastModifiedBy>
  <cp:revision>2</cp:revision>
  <cp:lastPrinted>2012-12-05T15:51:00Z</cp:lastPrinted>
  <dcterms:created xsi:type="dcterms:W3CDTF">2024-03-26T17:40:00Z</dcterms:created>
  <dcterms:modified xsi:type="dcterms:W3CDTF">2024-03-26T17:40:00Z</dcterms:modified>
</cp:coreProperties>
</file>